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kinsoku/>
        <w:wordWrap/>
        <w:overflowPunct/>
        <w:topLinePunct w:val="0"/>
        <w:autoSpaceDE w:val="0"/>
        <w:autoSpaceDN w:val="0"/>
        <w:bidi w:val="0"/>
        <w:adjustRightInd/>
        <w:snapToGrid/>
        <w:spacing w:line="560" w:lineRule="exact"/>
        <w:textAlignment w:val="auto"/>
        <w:rPr>
          <w:rFonts w:hint="eastAsia" w:ascii="微软雅黑" w:hAnsi="微软雅黑" w:eastAsia="微软雅黑" w:cs="微软雅黑"/>
          <w:b/>
          <w:bCs/>
          <w:color w:val="000000" w:themeColor="text1"/>
          <w:szCs w:val="24"/>
          <w14:textFill>
            <w14:solidFill>
              <w14:schemeClr w14:val="tx1"/>
            </w14:solidFill>
          </w14:textFill>
        </w:rPr>
      </w:pPr>
    </w:p>
    <w:p>
      <w:pPr>
        <w:pStyle w:val="3"/>
        <w:keepNext w:val="0"/>
        <w:keepLines w:val="0"/>
        <w:pageBreakBefore w:val="0"/>
        <w:widowControl/>
        <w:numPr>
          <w:ilvl w:val="0"/>
          <w:numId w:val="0"/>
        </w:numPr>
        <w:kinsoku/>
        <w:wordWrap/>
        <w:overflowPunct/>
        <w:topLinePunct w:val="0"/>
        <w:autoSpaceDE w:val="0"/>
        <w:autoSpaceDN w:val="0"/>
        <w:bidi w:val="0"/>
        <w:adjustRightInd/>
        <w:snapToGrid/>
        <w:spacing w:line="560" w:lineRule="exact"/>
        <w:jc w:val="center"/>
        <w:textAlignment w:val="auto"/>
        <w:rPr>
          <w:rFonts w:hint="default" w:ascii="微软雅黑" w:hAnsi="微软雅黑" w:eastAsia="微软雅黑" w:cs="微软雅黑"/>
          <w:b/>
          <w:bCs/>
          <w:color w:val="000000" w:themeColor="text1"/>
          <w:sz w:val="28"/>
          <w:szCs w:val="28"/>
          <w:lang w:val="en-US"/>
          <w14:textFill>
            <w14:solidFill>
              <w14:schemeClr w14:val="tx1"/>
            </w14:solidFill>
          </w14:textFill>
        </w:rPr>
      </w:pPr>
      <w:r>
        <w:rPr>
          <w:rFonts w:hint="eastAsia" w:ascii="微软雅黑" w:hAnsi="微软雅黑" w:eastAsia="微软雅黑" w:cs="微软雅黑"/>
          <w:color w:val="000000" w:themeColor="text1"/>
          <w:sz w:val="28"/>
          <w:szCs w:val="28"/>
          <w:highlight w:val="none"/>
          <w:lang w:eastAsia="zh-CN"/>
          <w14:textFill>
            <w14:solidFill>
              <w14:schemeClr w14:val="tx1"/>
            </w14:solidFill>
          </w14:textFill>
        </w:rPr>
        <w:t>安康市2025年普通干线公路危旧桥梁改造工程施工</w:t>
      </w:r>
      <w:r>
        <w:rPr>
          <w:rFonts w:hint="eastAsia" w:ascii="微软雅黑" w:hAnsi="微软雅黑" w:eastAsia="微软雅黑" w:cs="微软雅黑"/>
          <w:color w:val="000000" w:themeColor="text1"/>
          <w:sz w:val="28"/>
          <w:szCs w:val="28"/>
          <w:highlight w:val="none"/>
          <w:lang w:val="en-US" w:eastAsia="zh-CN"/>
          <w14:textFill>
            <w14:solidFill>
              <w14:schemeClr w14:val="tx1"/>
            </w14:solidFill>
          </w14:textFill>
        </w:rPr>
        <w:t>监理招标文件关键性内容</w:t>
      </w:r>
    </w:p>
    <w:p>
      <w:pPr>
        <w:pStyle w:val="3"/>
        <w:widowControl/>
        <w:numPr>
          <w:ilvl w:val="0"/>
          <w:numId w:val="0"/>
        </w:numPr>
        <w:spacing w:line="360" w:lineRule="auto"/>
        <w:rPr>
          <w:rFonts w:hint="eastAsia" w:ascii="仿宋" w:hAnsi="仿宋" w:eastAsia="仿宋" w:cs="仿宋"/>
          <w:b/>
          <w:bCs/>
          <w:color w:val="000000" w:themeColor="text1"/>
          <w:sz w:val="28"/>
          <w:szCs w:val="28"/>
          <w:lang w:val="en-US" w:eastAsia="zh-CN"/>
          <w14:textFill>
            <w14:solidFill>
              <w14:schemeClr w14:val="tx1"/>
            </w14:solidFill>
          </w14:textFill>
        </w:rPr>
      </w:pPr>
    </w:p>
    <w:p>
      <w:pPr>
        <w:pStyle w:val="3"/>
        <w:widowControl/>
        <w:numPr>
          <w:ilvl w:val="0"/>
          <w:numId w:val="0"/>
        </w:numPr>
        <w:spacing w:line="360" w:lineRule="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招标条件</w:t>
      </w:r>
    </w:p>
    <w:p>
      <w:pPr>
        <w:pStyle w:val="3"/>
        <w:widowControl/>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招标项目安康市2025年普通干线公路危旧桥梁改造工程施工监理已由安康市交通运输局以安交函〔2024〕433号、安交函〔2025〕12号批准建设，初步设计已由安康市交通运输局以《关于安康市普通国道（211、541）危旧桥梁改造工程施工图设计及预算的批复》（安交函〔2024〕433号）、《关于安康市2025年部分国省道危桥改造工程（G541香铺桥、S102小过风楼桥）一阶段施工图设计及预算的批复》（安交函〔2025〕12号）批准，项目业主为安康市公路局，建设资金来自财政，招标人(项目业主)为安康市公路局。项目已具备招标条件，现对该项目的施工监理进行公开招标。招标代理为陕西万象通途项目管理有限公司。</w:t>
      </w:r>
    </w:p>
    <w:p>
      <w:pPr>
        <w:pStyle w:val="3"/>
        <w:widowControl/>
        <w:spacing w:line="360" w:lineRule="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2.项目概况与招标范围：</w:t>
      </w:r>
    </w:p>
    <w:p>
      <w:pPr>
        <w:pStyle w:val="2"/>
        <w:numPr>
          <w:ilvl w:val="1"/>
          <w:numId w:val="1"/>
        </w:numPr>
        <w:spacing w:line="360" w:lineRule="auto"/>
        <w:ind w:firstLine="560" w:firstLineChars="200"/>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建设地点：陕西省</w:t>
      </w:r>
      <w:r>
        <w:rPr>
          <w:rFonts w:hint="eastAsia" w:ascii="仿宋" w:hAnsi="仿宋" w:eastAsia="仿宋" w:cs="仿宋"/>
          <w:color w:val="000000" w:themeColor="text1"/>
          <w:sz w:val="28"/>
          <w:szCs w:val="28"/>
          <w:lang w:val="en-US"/>
          <w14:textFill>
            <w14:solidFill>
              <w14:schemeClr w14:val="tx1"/>
            </w14:solidFill>
          </w14:textFill>
        </w:rPr>
        <w:t>安康市</w:t>
      </w:r>
    </w:p>
    <w:p>
      <w:pPr>
        <w:pStyle w:val="2"/>
        <w:numPr>
          <w:ilvl w:val="1"/>
          <w:numId w:val="1"/>
        </w:numPr>
        <w:spacing w:line="360" w:lineRule="auto"/>
        <w:ind w:firstLine="560" w:firstLineChars="200"/>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工程规模</w:t>
      </w:r>
    </w:p>
    <w:p>
      <w:pPr>
        <w:pStyle w:val="2"/>
        <w:spacing w:line="360" w:lineRule="auto"/>
        <w:ind w:left="440" w:leftChars="200" w:firstLine="560" w:firstLineChars="200"/>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安康市2025年普通干线公路危旧桥梁改造工程施工，共涉及桥梁5座，分别为G211线堰吉河大桥，中心桩号K1069+389，长度178.4米，主要建设内容：更换全桥吊杆，梁底增设钢纵梁，增设拱肋、墩台检修通道，对全桥进行集中排水改造，拱肋和护栏等结构表面进行防腐涂装，修复全桥缺陷。G541线刘家沟桥，中心桩号K144+630，长度20米，主要建设内容：采用钢筋混凝土下套拱加固方案对桥梁进行提载加固，增设横系梁，封闭拱圈裂缝，环氧砂浆修补桥梁缺陷，重设桥面铺装及护栏。G541杨家台子2号桥,中心桩号K175+350，长度62米，主要建设内容：对桥台，拱座、弦杆、前墙、横系梁、拱腿及拱肋采用增大截面法进行改造，封闭梁体、横系梁、微弯板、侧墙等部位裂缝；环氧砂浆修复桥梁缺陷，重设桥面板及铺装，更换桥梁护栏。G541香铺桥,中心桩号K44+757，长度9.6米，主要建设内容：原址拆除新建，新建桥梁全长20米，宽10米，上部采用1×8米钢筋混凝土现浇板，下部采用U型台，扩大基础，墙式砼护栏，钢筋混凝土桥面。S102 线小过风楼桥，中心桩号K379+031，长度45米，主要建设内容：原址拆除新建，新建桥梁全长64米，宽10米，上部采用2×30米预应力混凝土小箱梁，下部采用柱式墩、柱式台，桩基础，墙式砼护栏，钢筋混凝土桥面。</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 项目投资总额：</w:t>
      </w:r>
      <w:r>
        <w:rPr>
          <w:rFonts w:hint="eastAsia" w:ascii="仿宋" w:hAnsi="仿宋" w:eastAsia="仿宋" w:cs="仿宋"/>
          <w:color w:val="000000" w:themeColor="text1"/>
          <w:sz w:val="28"/>
          <w:szCs w:val="28"/>
          <w:lang w:val="en-US"/>
          <w14:textFill>
            <w14:solidFill>
              <w14:schemeClr w14:val="tx1"/>
            </w14:solidFill>
          </w14:textFill>
        </w:rPr>
        <w:t>约18464000元</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 标段划分：</w:t>
      </w:r>
    </w:p>
    <w:tbl>
      <w:tblPr>
        <w:tblStyle w:val="4"/>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663"/>
        <w:gridCol w:w="1270"/>
        <w:gridCol w:w="1116"/>
        <w:gridCol w:w="3814"/>
        <w:gridCol w:w="1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873" w:type="dxa"/>
            <w:tcBorders>
              <w:tl2br w:val="nil"/>
              <w:tr2bl w:val="nil"/>
            </w:tcBorders>
            <w:vAlign w:val="center"/>
          </w:tcPr>
          <w:p>
            <w:pPr>
              <w:spacing w:beforeLines="50" w:line="360" w:lineRule="auto"/>
              <w:jc w:val="center"/>
              <w:rPr>
                <w:rFonts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工程类别</w:t>
            </w:r>
          </w:p>
        </w:tc>
        <w:tc>
          <w:tcPr>
            <w:tcW w:w="1663" w:type="dxa"/>
            <w:tcBorders>
              <w:tl2br w:val="nil"/>
              <w:tr2bl w:val="nil"/>
            </w:tcBorders>
            <w:vAlign w:val="center"/>
          </w:tcPr>
          <w:p>
            <w:pPr>
              <w:spacing w:line="360" w:lineRule="auto"/>
              <w:jc w:val="center"/>
              <w:rPr>
                <w:rFonts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标段名称</w:t>
            </w:r>
          </w:p>
        </w:tc>
        <w:tc>
          <w:tcPr>
            <w:tcW w:w="1269" w:type="dxa"/>
            <w:tcBorders>
              <w:tl2br w:val="nil"/>
              <w:tr2bl w:val="nil"/>
            </w:tcBorders>
            <w:vAlign w:val="center"/>
          </w:tcPr>
          <w:p>
            <w:pPr>
              <w:spacing w:line="360" w:lineRule="auto"/>
              <w:jc w:val="center"/>
              <w:rPr>
                <w:rFonts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起讫桩号</w:t>
            </w:r>
          </w:p>
        </w:tc>
        <w:tc>
          <w:tcPr>
            <w:tcW w:w="1114" w:type="dxa"/>
            <w:tcBorders>
              <w:tl2br w:val="nil"/>
              <w:tr2bl w:val="nil"/>
            </w:tcBorders>
            <w:vAlign w:val="center"/>
          </w:tcPr>
          <w:p>
            <w:pPr>
              <w:widowControl/>
              <w:spacing w:line="360" w:lineRule="auto"/>
              <w:jc w:val="center"/>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工程</w:t>
            </w:r>
          </w:p>
          <w:p>
            <w:pPr>
              <w:spacing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规模</w:t>
            </w:r>
          </w:p>
        </w:tc>
        <w:tc>
          <w:tcPr>
            <w:tcW w:w="3822" w:type="dxa"/>
            <w:tcBorders>
              <w:tl2br w:val="nil"/>
              <w:tr2bl w:val="nil"/>
            </w:tcBorders>
            <w:vAlign w:val="center"/>
          </w:tcPr>
          <w:p>
            <w:pPr>
              <w:spacing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主要工程内容</w:t>
            </w:r>
          </w:p>
          <w:p>
            <w:pPr>
              <w:spacing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（招标范围包括但不限于以下内容）</w:t>
            </w:r>
          </w:p>
        </w:tc>
        <w:tc>
          <w:tcPr>
            <w:tcW w:w="1097" w:type="dxa"/>
            <w:tcBorders>
              <w:tl2br w:val="nil"/>
              <w:tr2bl w:val="nil"/>
            </w:tcBorders>
            <w:vAlign w:val="center"/>
          </w:tcPr>
          <w:p>
            <w:pPr>
              <w:spacing w:beforeLines="50" w:line="360" w:lineRule="auto"/>
              <w:jc w:val="center"/>
              <w:rPr>
                <w:rFonts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计划工期（</w:t>
            </w:r>
            <w:r>
              <w:rPr>
                <w:rFonts w:hint="eastAsia" w:ascii="仿宋" w:hAnsi="仿宋" w:eastAsia="仿宋" w:cs="仿宋"/>
                <w:b/>
                <w:bCs/>
                <w:color w:val="000000" w:themeColor="text1"/>
                <w:sz w:val="28"/>
                <w:szCs w:val="28"/>
                <w:lang w:val="en-US"/>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73" w:type="dxa"/>
            <w:tcBorders>
              <w:tl2br w:val="nil"/>
              <w:tr2bl w:val="nil"/>
            </w:tcBorders>
            <w:vAlign w:val="center"/>
          </w:tcPr>
          <w:p>
            <w:pPr>
              <w:spacing w:beforeLines="50" w:line="360" w:lineRule="auto"/>
              <w:jc w:val="center"/>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监理等咨询服务</w:t>
            </w:r>
          </w:p>
        </w:tc>
        <w:tc>
          <w:tcPr>
            <w:tcW w:w="1663" w:type="dxa"/>
            <w:tcBorders>
              <w:tl2br w:val="nil"/>
              <w:tr2bl w:val="nil"/>
            </w:tcBorders>
            <w:vAlign w:val="center"/>
          </w:tcPr>
          <w:p>
            <w:pPr>
              <w:spacing w:line="360" w:lineRule="auto"/>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安康市2025年普通干线公路危旧桥梁改造工程施工</w:t>
            </w:r>
            <w:r>
              <w:rPr>
                <w:rFonts w:hint="eastAsia" w:ascii="仿宋" w:hAnsi="仿宋" w:eastAsia="仿宋" w:cs="仿宋"/>
                <w:color w:val="000000" w:themeColor="text1"/>
                <w:sz w:val="28"/>
                <w:szCs w:val="28"/>
                <w:lang w:val="en-US"/>
                <w14:textFill>
                  <w14:solidFill>
                    <w14:schemeClr w14:val="tx1"/>
                  </w14:solidFill>
                </w14:textFill>
              </w:rPr>
              <w:t>监理</w:t>
            </w:r>
          </w:p>
        </w:tc>
        <w:tc>
          <w:tcPr>
            <w:tcW w:w="1269" w:type="dxa"/>
            <w:tcBorders>
              <w:tl2br w:val="nil"/>
              <w:tr2bl w:val="nil"/>
            </w:tcBorders>
            <w:vAlign w:val="center"/>
          </w:tcPr>
          <w:p>
            <w:pPr>
              <w:spacing w:line="360" w:lineRule="auto"/>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本项目施工内容中所有起讫桩号</w:t>
            </w:r>
          </w:p>
        </w:tc>
        <w:tc>
          <w:tcPr>
            <w:tcW w:w="1114" w:type="dxa"/>
            <w:tcBorders>
              <w:tl2br w:val="nil"/>
              <w:tr2bl w:val="nil"/>
            </w:tcBorders>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316230</wp:posOffset>
                      </wp:positionV>
                      <wp:extent cx="391795" cy="544195"/>
                      <wp:effectExtent l="3810" t="2540" r="15875" b="17145"/>
                      <wp:wrapNone/>
                      <wp:docPr id="2" name="直接连接符 2"/>
                      <wp:cNvGraphicFramePr/>
                      <a:graphic xmlns:a="http://schemas.openxmlformats.org/drawingml/2006/main">
                        <a:graphicData uri="http://schemas.microsoft.com/office/word/2010/wordprocessingShape">
                          <wps:wsp>
                            <wps:cNvCnPr/>
                            <wps:spPr>
                              <a:xfrm flipV="1">
                                <a:off x="0" y="0"/>
                                <a:ext cx="391795" cy="5441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75pt;margin-top:24.9pt;height:42.85pt;width:30.85pt;z-index:251660288;mso-width-relative:page;mso-height-relative:page;" filled="f" stroked="t" coordsize="21600,21600" o:gfxdata="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FZmlzVAAAACAEAAA8AAAAAAAAAAQAgAAAAIgAAAGRycy9kb3du&#10;cmV2LnhtbFBLAQIUABQAAAAIAIdO4kAwpaIXAgIAAAAEAAAOAAAAAAAAAAEAIAAAACQBAABkcnMv&#10;ZTJvRG9jLnhtbFBLBQYAAAAABgAGAFkBAACYBQAAAAA=&#10;">
                      <v:fill on="f" focussize="0,0"/>
                      <v:stroke color="#000000" joinstyle="round"/>
                      <v:imagedata o:title=""/>
                      <o:lock v:ext="edit" aspectratio="f"/>
                    </v:line>
                  </w:pict>
                </mc:Fallback>
              </mc:AlternateContent>
            </w:r>
          </w:p>
        </w:tc>
        <w:tc>
          <w:tcPr>
            <w:tcW w:w="3822" w:type="dxa"/>
            <w:tcBorders>
              <w:tl2br w:val="nil"/>
              <w:tr2bl w:val="nil"/>
            </w:tcBorders>
            <w:vAlign w:val="center"/>
          </w:tcPr>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G211线堰吉河大桥、G541线刘家沟桥、杨家台子2号桥、香铺桥、S102线小过风楼桥共5座危桥改造工程施工图设计范围内全部工程的监理工作。</w:t>
            </w:r>
          </w:p>
        </w:tc>
        <w:tc>
          <w:tcPr>
            <w:tcW w:w="1097" w:type="dxa"/>
            <w:tcBorders>
              <w:tl2br w:val="nil"/>
              <w:tr2bl w:val="nil"/>
            </w:tcBorders>
            <w:vAlign w:val="center"/>
          </w:tcPr>
          <w:p>
            <w:pPr>
              <w:spacing w:line="360" w:lineRule="auto"/>
              <w:ind w:firstLine="280" w:firstLineChars="100"/>
              <w:rPr>
                <w:rFonts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180</w:t>
            </w:r>
          </w:p>
        </w:tc>
      </w:tr>
    </w:tbl>
    <w:p>
      <w:pPr>
        <w:pStyle w:val="3"/>
        <w:widowControl/>
        <w:tabs>
          <w:tab w:val="left" w:pos="8580"/>
        </w:tabs>
        <w:spacing w:line="360" w:lineRule="auto"/>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 其他：计划开工日期2025年7月1日（以实际开工令为准），缺陷责任期6个月。</w:t>
      </w:r>
    </w:p>
    <w:p>
      <w:pPr>
        <w:pStyle w:val="3"/>
        <w:widowControl/>
        <w:tabs>
          <w:tab w:val="left" w:pos="8580"/>
        </w:tabs>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3.投标人资格要求</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3.1安康市2025年普通干线公路危旧桥梁改造工程施工监理：</w:t>
      </w:r>
      <w:r>
        <w:rPr>
          <w:rFonts w:hint="eastAsia" w:ascii="仿宋" w:hAnsi="仿宋" w:eastAsia="仿宋" w:cs="仿宋"/>
          <w:color w:val="000000" w:themeColor="text1"/>
          <w:sz w:val="28"/>
          <w:szCs w:val="28"/>
          <w:lang w:val="zh-CN"/>
          <w14:textFill>
            <w14:solidFill>
              <w14:schemeClr w14:val="tx1"/>
            </w14:solidFill>
          </w14:textFill>
        </w:rPr>
        <w:t>本次招标要求投标人</w:t>
      </w:r>
      <w:r>
        <w:rPr>
          <w:rFonts w:hint="eastAsia" w:ascii="仿宋" w:hAnsi="仿宋" w:eastAsia="仿宋" w:cs="仿宋"/>
          <w:color w:val="000000" w:themeColor="text1"/>
          <w:sz w:val="28"/>
          <w:szCs w:val="28"/>
          <w14:textFill>
            <w14:solidFill>
              <w14:schemeClr w14:val="tx1"/>
            </w14:solidFill>
          </w14:textFill>
        </w:rPr>
        <w:t>须具备以下</w:t>
      </w:r>
      <w:r>
        <w:rPr>
          <w:rFonts w:hint="eastAsia" w:ascii="仿宋" w:hAnsi="仿宋" w:eastAsia="仿宋" w:cs="仿宋"/>
          <w:color w:val="000000" w:themeColor="text1"/>
          <w:sz w:val="28"/>
          <w:szCs w:val="28"/>
          <w:lang w:val="zh-CN"/>
          <w14:textFill>
            <w14:solidFill>
              <w14:schemeClr w14:val="tx1"/>
            </w14:solidFill>
          </w14:textFill>
        </w:rPr>
        <w:t>各项资质、</w:t>
      </w:r>
      <w:r>
        <w:rPr>
          <w:rFonts w:hint="eastAsia" w:ascii="仿宋" w:hAnsi="仿宋" w:eastAsia="仿宋" w:cs="仿宋"/>
          <w:color w:val="000000" w:themeColor="text1"/>
          <w:sz w:val="28"/>
          <w:szCs w:val="28"/>
          <w14:textFill>
            <w14:solidFill>
              <w14:schemeClr w14:val="tx1"/>
            </w14:solidFill>
          </w14:textFill>
        </w:rPr>
        <w:t>以下</w:t>
      </w:r>
      <w:r>
        <w:rPr>
          <w:rFonts w:hint="eastAsia" w:ascii="仿宋" w:hAnsi="仿宋" w:eastAsia="仿宋" w:cs="仿宋"/>
          <w:color w:val="000000" w:themeColor="text1"/>
          <w:sz w:val="28"/>
          <w:szCs w:val="28"/>
          <w:lang w:val="zh-CN"/>
          <w14:textFill>
            <w14:solidFill>
              <w14:schemeClr w14:val="tx1"/>
            </w14:solidFill>
          </w14:textFill>
        </w:rPr>
        <w:t>业绩和信誉要求，并在人员等方面具有相应的施工监理能力。</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w:t>
      </w:r>
      <w:r>
        <w:rPr>
          <w:rFonts w:hint="eastAsia" w:ascii="仿宋" w:hAnsi="仿宋" w:eastAsia="仿宋" w:cs="仿宋"/>
          <w:b/>
          <w:color w:val="000000" w:themeColor="text1"/>
          <w:sz w:val="28"/>
          <w:szCs w:val="28"/>
          <w14:textFill>
            <w14:solidFill>
              <w14:schemeClr w14:val="tx1"/>
            </w14:solidFill>
          </w14:textFill>
        </w:rPr>
        <w:t>资质要求</w:t>
      </w:r>
      <w:r>
        <w:rPr>
          <w:rFonts w:hint="eastAsia" w:ascii="仿宋" w:hAnsi="仿宋" w:eastAsia="仿宋" w:cs="仿宋"/>
          <w:color w:val="000000" w:themeColor="text1"/>
          <w:sz w:val="28"/>
          <w:szCs w:val="28"/>
          <w14:textFill>
            <w14:solidFill>
              <w14:schemeClr w14:val="tx1"/>
            </w14:solidFill>
          </w14:textFill>
        </w:rPr>
        <w:t>：</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（1）投标人须具有独立法人资格，具有合法有效的营业执照等证明文件；</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（2）投标人须具备交通运输部门核发的公路工程监理乙级及以上资质；</w:t>
      </w:r>
    </w:p>
    <w:p>
      <w:pPr>
        <w:pStyle w:val="3"/>
        <w:widowControl/>
        <w:tabs>
          <w:tab w:val="left" w:pos="8580"/>
        </w:tabs>
        <w:spacing w:line="360" w:lineRule="auto"/>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3.1.2 </w:t>
      </w:r>
      <w:r>
        <w:rPr>
          <w:rFonts w:hint="eastAsia" w:ascii="仿宋" w:hAnsi="仿宋" w:eastAsia="仿宋" w:cs="仿宋"/>
          <w:b/>
          <w:bCs/>
          <w:color w:val="000000" w:themeColor="text1"/>
          <w:sz w:val="28"/>
          <w:szCs w:val="28"/>
          <w14:textFill>
            <w14:solidFill>
              <w14:schemeClr w14:val="tx1"/>
            </w14:solidFill>
          </w14:textFill>
        </w:rPr>
        <w:t>业绩要求：</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OLE_LINK91"/>
      <w:bookmarkStart w:id="1" w:name="OLE_LINK90"/>
      <w:r>
        <w:rPr>
          <w:rFonts w:hint="eastAsia" w:ascii="仿宋" w:hAnsi="仿宋" w:eastAsia="仿宋" w:cs="仿宋"/>
          <w:color w:val="000000" w:themeColor="text1"/>
          <w:sz w:val="28"/>
          <w:szCs w:val="28"/>
          <w14:textFill>
            <w14:solidFill>
              <w14:schemeClr w14:val="tx1"/>
            </w14:solidFill>
          </w14:textFill>
        </w:rPr>
        <w:t>投标人在近5年内至少担任过1座中桥及以上的危旧桥梁改造的养护工程监理业绩。</w:t>
      </w:r>
      <w:bookmarkEnd w:id="0"/>
      <w:bookmarkEnd w:id="1"/>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w:t>
      </w:r>
      <w:r>
        <w:rPr>
          <w:rFonts w:hint="eastAsia" w:ascii="仿宋" w:hAnsi="仿宋" w:eastAsia="仿宋" w:cs="仿宋"/>
          <w:b/>
          <w:bCs/>
          <w:color w:val="000000" w:themeColor="text1"/>
          <w:sz w:val="28"/>
          <w:szCs w:val="28"/>
          <w14:textFill>
            <w14:solidFill>
              <w14:schemeClr w14:val="tx1"/>
            </w14:solidFill>
          </w14:textFill>
        </w:rPr>
        <w:t>.3 财务要求</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投标人在2023年的年末流动资产与流动负债比大于1。</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3.1.4 </w:t>
      </w:r>
      <w:r>
        <w:rPr>
          <w:rFonts w:hint="eastAsia" w:ascii="仿宋" w:hAnsi="仿宋" w:eastAsia="仿宋" w:cs="仿宋"/>
          <w:b/>
          <w:bCs/>
          <w:color w:val="000000" w:themeColor="text1"/>
          <w:sz w:val="28"/>
          <w:szCs w:val="28"/>
          <w14:textFill>
            <w14:solidFill>
              <w14:schemeClr w14:val="tx1"/>
            </w14:solidFill>
          </w14:textFill>
        </w:rPr>
        <w:t>主要人员要求：</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监理工程师（1名）：具有公路工程相关专业中级及以上技术职称，持有交通运输部颁发的公路工程监理工程师证书，近5年内至少担任过1座中桥及以上的危旧桥梁改造的养护工程项目总监理工程师或专业监理工程师。</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注：主要人员在岗要求须为无在岗项目（指目前未在其他项目上任职，或虽在其他项目上任职但本项目中标后能够从该项目撤离）</w:t>
      </w:r>
    </w:p>
    <w:p>
      <w:pPr>
        <w:pStyle w:val="3"/>
        <w:widowControl/>
        <w:tabs>
          <w:tab w:val="left" w:pos="8580"/>
        </w:tabs>
        <w:spacing w:line="360" w:lineRule="auto"/>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3.1.5</w:t>
      </w:r>
      <w:r>
        <w:rPr>
          <w:rFonts w:hint="eastAsia" w:ascii="仿宋" w:hAnsi="仿宋" w:eastAsia="仿宋" w:cs="仿宋"/>
          <w:b/>
          <w:bCs/>
          <w:color w:val="000000" w:themeColor="text1"/>
          <w:sz w:val="28"/>
          <w:szCs w:val="28"/>
          <w14:textFill>
            <w14:solidFill>
              <w14:schemeClr w14:val="tx1"/>
            </w14:solidFill>
          </w14:textFill>
        </w:rPr>
        <w:t>企业信誉要求：</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投标人存在下列不良状况或不良信用记录的单位，不得参加投标：</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2" w:name="OLE_LINK92"/>
      <w:bookmarkStart w:id="3" w:name="OLE_LINK93"/>
      <w:r>
        <w:rPr>
          <w:rFonts w:hint="eastAsia" w:ascii="仿宋" w:hAnsi="仿宋" w:eastAsia="仿宋" w:cs="仿宋"/>
          <w:color w:val="000000" w:themeColor="text1"/>
          <w:sz w:val="28"/>
          <w:szCs w:val="28"/>
          <w14:textFill>
            <w14:solidFill>
              <w14:schemeClr w14:val="tx1"/>
            </w14:solidFill>
          </w14:textFill>
        </w:rPr>
        <w:t>（1）凡被交通运输部或陕西省交通运输主管部门取消或暂停在陕西省投标资格且在处罚期内的单位无资格参与本项目投标；</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（2）凡在交通运输部最新年度公路监理企业全国综合信用评价结果或最新年度省级公路监理单位信用评价结果中，被评为D级或曾被评为D级但处罚期限未过的单位无资格参与本项目投标；</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（3）被责令停业，暂扣或吊销执照，或吊销资质证书；</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（4）进入清算程序，或被宣告破产，或其他丧失履约能力的情形；</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（5）在国家企业信用信息公示系统（http://www.gsxt.gov.cn/）中被列入严重违法失信企业名单；在“信用中国”网站（http://www.creditchina.gov.cn/）中被列入失信被执行人名单；</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（6）投标人及其法定代表人、拟委任的总监理工程师在近三年内有行贿犯罪行为的；</w:t>
      </w:r>
    </w:p>
    <w:p>
      <w:pPr>
        <w:pStyle w:val="3"/>
        <w:widowControl/>
        <w:tabs>
          <w:tab w:val="left" w:pos="85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（7）法律法规规定的其他情形。</w:t>
      </w:r>
      <w:bookmarkEnd w:id="2"/>
      <w:bookmarkEnd w:id="3"/>
    </w:p>
    <w:p>
      <w:pPr>
        <w:rPr>
          <w:rFonts w:hint="eastAsia" w:ascii="微软雅黑" w:hAnsi="微软雅黑" w:eastAsia="微软雅黑" w:cs="微软雅黑"/>
          <w:color w:val="000000" w:themeColor="text1"/>
          <w:spacing w:val="16"/>
          <w:sz w:val="31"/>
          <w:szCs w:val="31"/>
          <w14:textFill>
            <w14:solidFill>
              <w14:schemeClr w14:val="tx1"/>
            </w14:solidFill>
          </w14:textFill>
        </w:rPr>
      </w:pPr>
      <w:r>
        <w:rPr>
          <w:rFonts w:hint="eastAsia" w:ascii="微软雅黑" w:hAnsi="微软雅黑" w:eastAsia="微软雅黑" w:cs="微软雅黑"/>
          <w:color w:val="000000" w:themeColor="text1"/>
          <w:spacing w:val="16"/>
          <w:sz w:val="31"/>
          <w:szCs w:val="31"/>
          <w14:textFill>
            <w14:solidFill>
              <w14:schemeClr w14:val="tx1"/>
            </w14:solidFill>
          </w14:textFill>
        </w:rPr>
        <w:br w:type="page"/>
      </w:r>
    </w:p>
    <w:p>
      <w:pPr>
        <w:spacing w:before="53" w:line="187" w:lineRule="auto"/>
        <w:ind w:left="3939"/>
        <w:outlineLvl w:val="1"/>
        <w:rPr>
          <w:rFonts w:hint="eastAsia" w:ascii="微软雅黑" w:hAnsi="微软雅黑" w:eastAsia="微软雅黑" w:cs="微软雅黑"/>
          <w:color w:val="000000" w:themeColor="text1"/>
          <w:sz w:val="31"/>
          <w:szCs w:val="31"/>
          <w14:textFill>
            <w14:solidFill>
              <w14:schemeClr w14:val="tx1"/>
            </w14:solidFill>
          </w14:textFill>
        </w:rPr>
      </w:pPr>
      <w:r>
        <w:rPr>
          <w:rFonts w:hint="eastAsia" w:ascii="微软雅黑" w:hAnsi="微软雅黑" w:eastAsia="微软雅黑" w:cs="微软雅黑"/>
          <w:color w:val="000000" w:themeColor="text1"/>
          <w:spacing w:val="16"/>
          <w:sz w:val="31"/>
          <w:szCs w:val="31"/>
          <w14:textFill>
            <w14:solidFill>
              <w14:schemeClr w14:val="tx1"/>
            </w14:solidFill>
          </w14:textFill>
        </w:rPr>
        <w:t>评标办法前附表</w:t>
      </w:r>
    </w:p>
    <w:p>
      <w:pPr>
        <w:spacing w:before="101" w:line="180" w:lineRule="auto"/>
        <w:ind w:left="2898"/>
        <w:rPr>
          <w:rFonts w:hint="eastAsia"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pacing w:val="11"/>
          <w:sz w:val="36"/>
          <w:szCs w:val="36"/>
          <w14:textFill>
            <w14:solidFill>
              <w14:schemeClr w14:val="tx1"/>
            </w14:solidFill>
          </w14:textFill>
        </w:rPr>
        <w:t>评标办法附表（综合评分法）</w:t>
      </w:r>
    </w:p>
    <w:p>
      <w:pPr>
        <w:spacing w:before="213" w:line="184" w:lineRule="auto"/>
        <w:ind w:left="478"/>
        <w:rPr>
          <w:rFonts w:hint="eastAsia" w:ascii="微软雅黑" w:hAnsi="微软雅黑" w:eastAsia="微软雅黑" w:cs="微软雅黑"/>
          <w:color w:val="000000" w:themeColor="text1"/>
          <w:sz w:val="27"/>
          <w:szCs w:val="27"/>
          <w14:textFill>
            <w14:solidFill>
              <w14:schemeClr w14:val="tx1"/>
            </w14:solidFill>
          </w14:textFill>
        </w:rPr>
      </w:pPr>
      <w:r>
        <w:rPr>
          <w:rFonts w:hint="eastAsia" w:ascii="微软雅黑" w:hAnsi="微软雅黑" w:eastAsia="微软雅黑" w:cs="微软雅黑"/>
          <w:color w:val="000000" w:themeColor="text1"/>
          <w:spacing w:val="5"/>
          <w:sz w:val="27"/>
          <w:szCs w:val="27"/>
          <w14:textFill>
            <w14:solidFill>
              <w14:schemeClr w14:val="tx1"/>
            </w14:solidFill>
          </w14:textFill>
        </w:rPr>
        <w:t>一</w:t>
      </w:r>
      <w:r>
        <w:rPr>
          <w:rFonts w:hint="eastAsia" w:ascii="微软雅黑" w:hAnsi="微软雅黑" w:eastAsia="微软雅黑" w:cs="微软雅黑"/>
          <w:color w:val="000000" w:themeColor="text1"/>
          <w:spacing w:val="-32"/>
          <w:sz w:val="27"/>
          <w:szCs w:val="27"/>
          <w14:textFill>
            <w14:solidFill>
              <w14:schemeClr w14:val="tx1"/>
            </w14:solidFill>
          </w14:textFill>
        </w:rPr>
        <w:t xml:space="preserve"> </w:t>
      </w:r>
      <w:r>
        <w:rPr>
          <w:rFonts w:hint="eastAsia" w:ascii="微软雅黑" w:hAnsi="微软雅黑" w:eastAsia="微软雅黑" w:cs="微软雅黑"/>
          <w:color w:val="000000" w:themeColor="text1"/>
          <w:spacing w:val="5"/>
          <w:sz w:val="27"/>
          <w:szCs w:val="27"/>
          <w14:textFill>
            <w14:solidFill>
              <w14:schemeClr w14:val="tx1"/>
            </w14:solidFill>
          </w14:textFill>
        </w:rPr>
        <w:t>、项目基本信息</w:t>
      </w:r>
    </w:p>
    <w:p>
      <w:pPr>
        <w:spacing w:before="325" w:line="430" w:lineRule="auto"/>
        <w:ind w:right="45"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8"/>
          <w:sz w:val="21"/>
          <w:szCs w:val="21"/>
          <w14:textFill>
            <w14:solidFill>
              <w14:schemeClr w14:val="tx1"/>
            </w14:solidFill>
          </w14:textFill>
        </w:rPr>
        <w:t>本招标项目编号为</w:t>
      </w:r>
      <w:r>
        <w:rPr>
          <w:rFonts w:hint="eastAsia" w:ascii="微软雅黑" w:hAnsi="微软雅黑" w:eastAsia="微软雅黑" w:cs="微软雅黑"/>
          <w:color w:val="000000" w:themeColor="text1"/>
          <w:spacing w:val="-8"/>
          <w:sz w:val="21"/>
          <w:szCs w:val="21"/>
          <w:u w:val="single"/>
          <w:lang w:val="en-US" w:eastAsia="zh-CN"/>
          <w14:textFill>
            <w14:solidFill>
              <w14:schemeClr w14:val="tx1"/>
            </w14:solidFill>
          </w14:textFill>
        </w:rPr>
        <w:t>E6109003546kuwr12</w:t>
      </w:r>
      <w:r>
        <w:rPr>
          <w:rFonts w:hint="eastAsia" w:ascii="微软雅黑" w:hAnsi="微软雅黑" w:eastAsia="微软雅黑" w:cs="微软雅黑"/>
          <w:color w:val="000000" w:themeColor="text1"/>
          <w:spacing w:val="-8"/>
          <w:sz w:val="21"/>
          <w:szCs w:val="21"/>
          <w14:textFill>
            <w14:solidFill>
              <w14:schemeClr w14:val="tx1"/>
            </w14:solidFill>
          </w14:textFill>
        </w:rPr>
        <w:t>，招标项目名称为</w:t>
      </w:r>
      <w:r>
        <w:rPr>
          <w:rFonts w:hint="eastAsia" w:ascii="微软雅黑" w:hAnsi="微软雅黑" w:eastAsia="微软雅黑" w:cs="微软雅黑"/>
          <w:color w:val="000000" w:themeColor="text1"/>
          <w:spacing w:val="-8"/>
          <w:sz w:val="21"/>
          <w:szCs w:val="21"/>
          <w:u w:val="single" w:color="auto"/>
          <w14:textFill>
            <w14:solidFill>
              <w14:schemeClr w14:val="tx1"/>
            </w14:solidFill>
          </w14:textFill>
        </w:rPr>
        <w:t xml:space="preserve">  安康市2025年普通干线公路危旧桥梁改造工程施工监理招标</w:t>
      </w:r>
      <w:r>
        <w:rPr>
          <w:rFonts w:hint="eastAsia" w:ascii="微软雅黑" w:hAnsi="微软雅黑" w:eastAsia="微软雅黑" w:cs="微软雅黑"/>
          <w:color w:val="000000" w:themeColor="text1"/>
          <w:spacing w:val="-2"/>
          <w:sz w:val="21"/>
          <w:szCs w:val="21"/>
          <w:u w:val="single" w:color="auto"/>
          <w14:textFill>
            <w14:solidFill>
              <w14:schemeClr w14:val="tx1"/>
            </w14:solidFill>
          </w14:textFill>
        </w:rPr>
        <w:t xml:space="preserve">JL标段 </w:t>
      </w:r>
      <w:r>
        <w:rPr>
          <w:rFonts w:hint="eastAsia" w:ascii="微软雅黑" w:hAnsi="微软雅黑" w:eastAsia="微软雅黑" w:cs="微软雅黑"/>
          <w:color w:val="000000" w:themeColor="text1"/>
          <w:spacing w:val="-2"/>
          <w:sz w:val="21"/>
          <w:szCs w:val="21"/>
          <w14:textFill>
            <w14:solidFill>
              <w14:schemeClr w14:val="tx1"/>
            </w14:solidFill>
          </w14:textFill>
        </w:rPr>
        <w:t>，招标方式为</w:t>
      </w:r>
      <w:r>
        <w:rPr>
          <w:rFonts w:hint="eastAsia" w:ascii="微软雅黑" w:hAnsi="微软雅黑" w:eastAsia="微软雅黑" w:cs="微软雅黑"/>
          <w:color w:val="000000" w:themeColor="text1"/>
          <w:spacing w:val="-2"/>
          <w:sz w:val="21"/>
          <w:szCs w:val="21"/>
          <w:u w:val="single" w:color="auto"/>
          <w14:textFill>
            <w14:solidFill>
              <w14:schemeClr w14:val="tx1"/>
            </w14:solidFill>
          </w14:textFill>
        </w:rPr>
        <w:t xml:space="preserve">  公开招标  </w:t>
      </w:r>
      <w:r>
        <w:rPr>
          <w:rFonts w:hint="eastAsia" w:ascii="微软雅黑" w:hAnsi="微软雅黑" w:eastAsia="微软雅黑" w:cs="微软雅黑"/>
          <w:color w:val="000000" w:themeColor="text1"/>
          <w:spacing w:val="-2"/>
          <w:sz w:val="21"/>
          <w:szCs w:val="21"/>
          <w14:textFill>
            <w14:solidFill>
              <w14:schemeClr w14:val="tx1"/>
            </w14:solidFill>
          </w14:textFill>
        </w:rPr>
        <w:t>，</w:t>
      </w:r>
      <w:r>
        <w:rPr>
          <w:rFonts w:hint="eastAsia" w:ascii="微软雅黑" w:hAnsi="微软雅黑" w:eastAsia="微软雅黑" w:cs="微软雅黑"/>
          <w:color w:val="000000" w:themeColor="text1"/>
          <w:spacing w:val="-3"/>
          <w:sz w:val="21"/>
          <w:szCs w:val="21"/>
          <w14:textFill>
            <w14:solidFill>
              <w14:schemeClr w14:val="tx1"/>
            </w14:solidFill>
          </w14:textFill>
        </w:rPr>
        <w:t>资格审查方式为</w:t>
      </w:r>
      <w:r>
        <w:rPr>
          <w:rFonts w:hint="eastAsia" w:ascii="微软雅黑" w:hAnsi="微软雅黑" w:eastAsia="微软雅黑" w:cs="微软雅黑"/>
          <w:color w:val="000000" w:themeColor="text1"/>
          <w:spacing w:val="-3"/>
          <w:sz w:val="21"/>
          <w:szCs w:val="21"/>
          <w:u w:val="single" w:color="auto"/>
          <w14:textFill>
            <w14:solidFill>
              <w14:schemeClr w14:val="tx1"/>
            </w14:solidFill>
          </w14:textFill>
        </w:rPr>
        <w:t xml:space="preserve">  资格后审  </w:t>
      </w:r>
    </w:p>
    <w:p>
      <w:pPr>
        <w:tabs>
          <w:tab w:val="left" w:pos="585"/>
        </w:tabs>
        <w:spacing w:line="184" w:lineRule="auto"/>
        <w:ind w:left="4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u w:val="single" w:color="auto"/>
          <w14:textFill>
            <w14:solidFill>
              <w14:schemeClr w14:val="tx1"/>
            </w14:solidFill>
          </w14:textFill>
        </w:rPr>
        <w:tab/>
      </w:r>
      <w:r>
        <w:rPr>
          <w:rFonts w:hint="eastAsia" w:ascii="微软雅黑" w:hAnsi="微软雅黑" w:eastAsia="微软雅黑" w:cs="微软雅黑"/>
          <w:color w:val="000000" w:themeColor="text1"/>
          <w:spacing w:val="-3"/>
          <w:sz w:val="21"/>
          <w:szCs w:val="21"/>
          <w:u w:val="single" w:color="auto"/>
          <w14:textFill>
            <w14:solidFill>
              <w14:schemeClr w14:val="tx1"/>
            </w14:solidFill>
          </w14:textFill>
        </w:rPr>
        <w:t xml:space="preserve">投标总报价  </w:t>
      </w:r>
      <w:r>
        <w:rPr>
          <w:rFonts w:hint="eastAsia" w:ascii="微软雅黑" w:hAnsi="微软雅黑" w:eastAsia="微软雅黑" w:cs="微软雅黑"/>
          <w:color w:val="000000" w:themeColor="text1"/>
          <w:spacing w:val="-3"/>
          <w:sz w:val="21"/>
          <w:szCs w:val="21"/>
          <w14:textFill>
            <w14:solidFill>
              <w14:schemeClr w14:val="tx1"/>
            </w14:solidFill>
          </w14:textFill>
        </w:rPr>
        <w:t>的报价方式为</w:t>
      </w:r>
      <w:r>
        <w:rPr>
          <w:rFonts w:hint="eastAsia" w:ascii="微软雅黑" w:hAnsi="微软雅黑" w:eastAsia="微软雅黑" w:cs="微软雅黑"/>
          <w:color w:val="000000" w:themeColor="text1"/>
          <w:spacing w:val="-3"/>
          <w:sz w:val="21"/>
          <w:szCs w:val="21"/>
          <w:u w:val="single" w:color="auto"/>
          <w14:textFill>
            <w14:solidFill>
              <w14:schemeClr w14:val="tx1"/>
            </w14:solidFill>
          </w14:textFill>
        </w:rPr>
        <w:t xml:space="preserve">  金额报价</w:t>
      </w:r>
      <w:r>
        <w:rPr>
          <w:rFonts w:hint="eastAsia" w:ascii="微软雅黑" w:hAnsi="微软雅黑" w:eastAsia="微软雅黑" w:cs="微软雅黑"/>
          <w:color w:val="000000" w:themeColor="text1"/>
          <w:spacing w:val="67"/>
          <w:w w:val="101"/>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3"/>
          <w:sz w:val="21"/>
          <w:szCs w:val="21"/>
          <w14:textFill>
            <w14:solidFill>
              <w14:schemeClr w14:val="tx1"/>
            </w14:solidFill>
          </w14:textFill>
        </w:rPr>
        <w:t>。</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4" w:lineRule="auto"/>
        <w:ind w:left="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本项目设置最高投标限价</w:t>
      </w:r>
      <w:r>
        <w:rPr>
          <w:rFonts w:hint="eastAsia" w:ascii="微软雅黑" w:hAnsi="微软雅黑" w:eastAsia="微软雅黑" w:cs="微软雅黑"/>
          <w:color w:val="000000" w:themeColor="text1"/>
          <w:spacing w:val="-29"/>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3"/>
          <w:sz w:val="21"/>
          <w:szCs w:val="21"/>
          <w14:textFill>
            <w14:solidFill>
              <w14:schemeClr w14:val="tx1"/>
            </w14:solidFill>
          </w14:textFill>
        </w:rPr>
        <w:t>，</w:t>
      </w:r>
      <w:r>
        <w:rPr>
          <w:rFonts w:hint="eastAsia" w:ascii="微软雅黑" w:hAnsi="微软雅黑" w:eastAsia="微软雅黑" w:cs="微软雅黑"/>
          <w:color w:val="000000" w:themeColor="text1"/>
          <w:spacing w:val="-3"/>
          <w:sz w:val="21"/>
          <w:szCs w:val="21"/>
          <w:lang w:val="en-US" w:eastAsia="zh-CN"/>
          <w14:textFill>
            <w14:solidFill>
              <w14:schemeClr w14:val="tx1"/>
            </w14:solidFill>
          </w14:textFill>
        </w:rPr>
        <w:t>投标截</w:t>
      </w:r>
      <w:r>
        <w:rPr>
          <w:rFonts w:hint="eastAsia" w:ascii="仿宋" w:hAnsi="仿宋" w:eastAsia="仿宋" w:cs="黑体"/>
          <w:color w:val="000000" w:themeColor="text1"/>
          <w:sz w:val="28"/>
          <w:szCs w:val="28"/>
          <w14:textFill>
            <w14:solidFill>
              <w14:schemeClr w14:val="tx1"/>
            </w14:solidFill>
          </w14:textFill>
        </w:rPr>
        <w:t>止</w:t>
      </w:r>
      <w:r>
        <w:rPr>
          <w:rFonts w:hint="eastAsia" w:ascii="微软雅黑" w:hAnsi="微软雅黑" w:eastAsia="微软雅黑" w:cs="微软雅黑"/>
          <w:color w:val="000000" w:themeColor="text1"/>
          <w:spacing w:val="-3"/>
          <w:sz w:val="21"/>
          <w:szCs w:val="21"/>
          <w:lang w:val="en-US" w:eastAsia="zh-CN"/>
          <w14:textFill>
            <w14:solidFill>
              <w14:schemeClr w14:val="tx1"/>
            </w14:solidFill>
          </w14:textFill>
        </w:rPr>
        <w:t>时间前15天发布</w:t>
      </w:r>
      <w:r>
        <w:rPr>
          <w:rFonts w:hint="eastAsia" w:ascii="微软雅黑" w:hAnsi="微软雅黑" w:eastAsia="微软雅黑" w:cs="微软雅黑"/>
          <w:color w:val="000000" w:themeColor="text1"/>
          <w:spacing w:val="-3"/>
          <w:sz w:val="21"/>
          <w:szCs w:val="21"/>
          <w14:textFill>
            <w14:solidFill>
              <w14:schemeClr w14:val="tx1"/>
            </w14:solidFill>
          </w14:textFill>
        </w:rPr>
        <w:t>。</w:t>
      </w:r>
    </w:p>
    <w:p>
      <w:pPr>
        <w:spacing w:line="27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0" w:lineRule="auto"/>
        <w:ind w:left="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本项目包含的标段（包）如下：</w:t>
      </w:r>
    </w:p>
    <w:p>
      <w:pPr>
        <w:spacing w:line="281"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430" w:lineRule="auto"/>
        <w:ind w:left="1" w:right="45" w:firstLine="478"/>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9"/>
          <w:sz w:val="21"/>
          <w:szCs w:val="21"/>
          <w14:textFill>
            <w14:solidFill>
              <w14:schemeClr w14:val="tx1"/>
            </w14:solidFill>
          </w14:textFill>
        </w:rPr>
        <w:t>标段（包）编号</w:t>
      </w:r>
      <w:r>
        <w:rPr>
          <w:rFonts w:hint="eastAsia" w:ascii="微软雅黑" w:hAnsi="微软雅黑" w:eastAsia="微软雅黑" w:cs="微软雅黑"/>
          <w:color w:val="000000" w:themeColor="text1"/>
          <w:spacing w:val="49"/>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8"/>
          <w:sz w:val="21"/>
          <w:szCs w:val="21"/>
          <w:u w:val="single"/>
          <w:lang w:val="en-US" w:eastAsia="zh-CN"/>
          <w14:textFill>
            <w14:solidFill>
              <w14:schemeClr w14:val="tx1"/>
            </w14:solidFill>
          </w14:textFill>
        </w:rPr>
        <w:t>E6109003546kuwr12</w:t>
      </w:r>
      <w:r>
        <w:rPr>
          <w:rFonts w:hint="eastAsia" w:ascii="微软雅黑" w:hAnsi="微软雅黑" w:eastAsia="微软雅黑" w:cs="微软雅黑"/>
          <w:color w:val="000000" w:themeColor="text1"/>
          <w:spacing w:val="49"/>
          <w:sz w:val="21"/>
          <w:szCs w:val="21"/>
          <w:u w:val="single" w:color="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spacing w:val="-9"/>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9"/>
          <w:sz w:val="21"/>
          <w:szCs w:val="21"/>
          <w14:textFill>
            <w14:solidFill>
              <w14:schemeClr w14:val="tx1"/>
            </w14:solidFill>
          </w14:textFill>
        </w:rPr>
        <w:t>，标段（包）名称</w:t>
      </w:r>
      <w:r>
        <w:rPr>
          <w:rFonts w:hint="eastAsia" w:ascii="微软雅黑" w:hAnsi="微软雅黑" w:eastAsia="微软雅黑" w:cs="微软雅黑"/>
          <w:color w:val="000000" w:themeColor="text1"/>
          <w:spacing w:val="-9"/>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10"/>
          <w:sz w:val="21"/>
          <w:szCs w:val="21"/>
          <w:u w:val="single" w:color="auto"/>
          <w14:textFill>
            <w14:solidFill>
              <w14:schemeClr w14:val="tx1"/>
            </w14:solidFill>
          </w14:textFill>
        </w:rPr>
        <w:t>安康市2025年普通干线公路危旧桥梁改造工程施工监理招标</w:t>
      </w:r>
      <w:r>
        <w:rPr>
          <w:rFonts w:hint="eastAsia" w:ascii="微软雅黑" w:hAnsi="微软雅黑" w:eastAsia="微软雅黑" w:cs="微软雅黑"/>
          <w:color w:val="000000" w:themeColor="text1"/>
          <w:spacing w:val="-2"/>
          <w:sz w:val="21"/>
          <w:szCs w:val="21"/>
          <w:u w:val="single" w:color="auto"/>
          <w14:textFill>
            <w14:solidFill>
              <w14:schemeClr w14:val="tx1"/>
            </w14:solidFill>
          </w14:textFill>
        </w:rPr>
        <w:t>JL标段</w:t>
      </w:r>
      <w:r>
        <w:rPr>
          <w:rFonts w:hint="eastAsia" w:ascii="微软雅黑" w:hAnsi="微软雅黑" w:eastAsia="微软雅黑" w:cs="微软雅黑"/>
          <w:color w:val="000000" w:themeColor="text1"/>
          <w:spacing w:val="44"/>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22"/>
          <w:w w:val="101"/>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14:textFill>
            <w14:solidFill>
              <w14:schemeClr w14:val="tx1"/>
            </w14:solidFill>
          </w14:textFill>
        </w:rPr>
        <w:t>，；本</w:t>
      </w:r>
      <w:r>
        <w:rPr>
          <w:rFonts w:hint="eastAsia" w:ascii="微软雅黑" w:hAnsi="微软雅黑" w:eastAsia="微软雅黑" w:cs="微软雅黑"/>
          <w:color w:val="000000" w:themeColor="text1"/>
          <w:spacing w:val="-3"/>
          <w:sz w:val="21"/>
          <w:szCs w:val="21"/>
          <w14:textFill>
            <w14:solidFill>
              <w14:schemeClr w14:val="tx1"/>
            </w14:solidFill>
          </w14:textFill>
        </w:rPr>
        <w:t>标段</w:t>
      </w:r>
      <w:r>
        <w:rPr>
          <w:rFonts w:hint="eastAsia" w:ascii="微软雅黑" w:hAnsi="微软雅黑" w:eastAsia="微软雅黑" w:cs="微软雅黑"/>
          <w:color w:val="000000" w:themeColor="text1"/>
          <w:spacing w:val="-3"/>
          <w:sz w:val="21"/>
          <w:szCs w:val="21"/>
          <w:u w:val="single" w:color="auto"/>
          <w14:textFill>
            <w14:solidFill>
              <w14:schemeClr w14:val="tx1"/>
            </w14:solidFill>
          </w14:textFill>
        </w:rPr>
        <w:t xml:space="preserve">   不接</w:t>
      </w:r>
      <w:r>
        <w:rPr>
          <w:rFonts w:hint="eastAsia" w:ascii="微软雅黑" w:hAnsi="微软雅黑" w:eastAsia="微软雅黑" w:cs="微软雅黑"/>
          <w:color w:val="000000" w:themeColor="text1"/>
          <w:spacing w:val="-4"/>
          <w:sz w:val="21"/>
          <w:szCs w:val="21"/>
          <w:u w:val="single" w:color="auto"/>
          <w14:textFill>
            <w14:solidFill>
              <w14:schemeClr w14:val="tx1"/>
            </w14:solidFill>
          </w14:textFill>
        </w:rPr>
        <w:t>受</w:t>
      </w:r>
      <w:r>
        <w:rPr>
          <w:rFonts w:hint="eastAsia" w:ascii="微软雅黑" w:hAnsi="微软雅黑" w:eastAsia="微软雅黑" w:cs="微软雅黑"/>
          <w:color w:val="000000" w:themeColor="text1"/>
          <w:spacing w:val="9"/>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2"/>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4"/>
          <w:sz w:val="21"/>
          <w:szCs w:val="21"/>
          <w14:textFill>
            <w14:solidFill>
              <w14:schemeClr w14:val="tx1"/>
            </w14:solidFill>
          </w14:textFill>
        </w:rPr>
        <w:t>联合体投标。</w:t>
      </w:r>
    </w:p>
    <w:p>
      <w:pPr>
        <w:spacing w:before="332" w:line="185" w:lineRule="auto"/>
        <w:ind w:left="478"/>
        <w:rPr>
          <w:rFonts w:hint="eastAsia" w:ascii="微软雅黑" w:hAnsi="微软雅黑" w:eastAsia="微软雅黑" w:cs="微软雅黑"/>
          <w:color w:val="000000" w:themeColor="text1"/>
          <w:sz w:val="27"/>
          <w:szCs w:val="27"/>
          <w14:textFill>
            <w14:solidFill>
              <w14:schemeClr w14:val="tx1"/>
            </w14:solidFill>
          </w14:textFill>
        </w:rPr>
      </w:pPr>
      <w:r>
        <w:rPr>
          <w:rFonts w:hint="eastAsia" w:ascii="微软雅黑" w:hAnsi="微软雅黑" w:eastAsia="微软雅黑" w:cs="微软雅黑"/>
          <w:color w:val="000000" w:themeColor="text1"/>
          <w:spacing w:val="5"/>
          <w:sz w:val="27"/>
          <w:szCs w:val="27"/>
          <w14:textFill>
            <w14:solidFill>
              <w14:schemeClr w14:val="tx1"/>
            </w14:solidFill>
          </w14:textFill>
        </w:rPr>
        <w:t>二</w:t>
      </w:r>
      <w:r>
        <w:rPr>
          <w:rFonts w:hint="eastAsia" w:ascii="微软雅黑" w:hAnsi="微软雅黑" w:eastAsia="微软雅黑" w:cs="微软雅黑"/>
          <w:color w:val="000000" w:themeColor="text1"/>
          <w:spacing w:val="-32"/>
          <w:sz w:val="27"/>
          <w:szCs w:val="27"/>
          <w14:textFill>
            <w14:solidFill>
              <w14:schemeClr w14:val="tx1"/>
            </w14:solidFill>
          </w14:textFill>
        </w:rPr>
        <w:t xml:space="preserve"> </w:t>
      </w:r>
      <w:r>
        <w:rPr>
          <w:rFonts w:hint="eastAsia" w:ascii="微软雅黑" w:hAnsi="微软雅黑" w:eastAsia="微软雅黑" w:cs="微软雅黑"/>
          <w:color w:val="000000" w:themeColor="text1"/>
          <w:spacing w:val="5"/>
          <w:sz w:val="27"/>
          <w:szCs w:val="27"/>
          <w14:textFill>
            <w14:solidFill>
              <w14:schemeClr w14:val="tx1"/>
            </w14:solidFill>
          </w14:textFill>
        </w:rPr>
        <w:t>、评标办法设置</w:t>
      </w:r>
    </w:p>
    <w:p>
      <w:pPr>
        <w:spacing w:before="323" w:line="185" w:lineRule="auto"/>
        <w:ind w:left="4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9"/>
          <w:sz w:val="21"/>
          <w:szCs w:val="21"/>
          <w14:textFill>
            <w14:solidFill>
              <w14:schemeClr w14:val="tx1"/>
            </w14:solidFill>
          </w14:textFill>
        </w:rPr>
        <w:t>评审步骤设置：</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4" w:lineRule="auto"/>
        <w:ind w:left="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技术标评审方式为</w:t>
      </w:r>
      <w:r>
        <w:rPr>
          <w:rFonts w:hint="eastAsia" w:ascii="微软雅黑" w:hAnsi="微软雅黑" w:eastAsia="微软雅黑" w:cs="微软雅黑"/>
          <w:color w:val="000000" w:themeColor="text1"/>
          <w:spacing w:val="-3"/>
          <w:sz w:val="21"/>
          <w:szCs w:val="21"/>
          <w:u w:val="single" w:color="auto"/>
          <w14:textFill>
            <w14:solidFill>
              <w14:schemeClr w14:val="tx1"/>
            </w14:solidFill>
          </w14:textFill>
        </w:rPr>
        <w:t xml:space="preserve">  明标评审  </w:t>
      </w:r>
      <w:r>
        <w:rPr>
          <w:rFonts w:hint="eastAsia" w:ascii="微软雅黑" w:hAnsi="微软雅黑" w:eastAsia="微软雅黑" w:cs="微软雅黑"/>
          <w:color w:val="000000" w:themeColor="text1"/>
          <w:spacing w:val="-3"/>
          <w:sz w:val="21"/>
          <w:szCs w:val="21"/>
          <w14:textFill>
            <w14:solidFill>
              <w14:schemeClr w14:val="tx1"/>
            </w14:solidFill>
          </w14:textFill>
        </w:rPr>
        <w:t>，评审步骤评分采用</w:t>
      </w:r>
      <w:r>
        <w:rPr>
          <w:rFonts w:hint="eastAsia" w:ascii="微软雅黑" w:hAnsi="微软雅黑" w:eastAsia="微软雅黑" w:cs="微软雅黑"/>
          <w:color w:val="000000" w:themeColor="text1"/>
          <w:spacing w:val="-3"/>
          <w:sz w:val="21"/>
          <w:szCs w:val="21"/>
          <w:u w:val="single" w:color="auto"/>
          <w14:textFill>
            <w14:solidFill>
              <w14:schemeClr w14:val="tx1"/>
            </w14:solidFill>
          </w14:textFill>
        </w:rPr>
        <w:t xml:space="preserve">  分值  </w:t>
      </w:r>
      <w:r>
        <w:rPr>
          <w:rFonts w:hint="eastAsia" w:ascii="微软雅黑" w:hAnsi="微软雅黑" w:eastAsia="微软雅黑" w:cs="微软雅黑"/>
          <w:color w:val="000000" w:themeColor="text1"/>
          <w:spacing w:val="-3"/>
          <w:sz w:val="21"/>
          <w:szCs w:val="21"/>
          <w14:textFill>
            <w14:solidFill>
              <w14:schemeClr w14:val="tx1"/>
            </w14:solidFill>
          </w14:textFill>
        </w:rPr>
        <w:t>评分。</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430" w:lineRule="auto"/>
        <w:ind w:firstLine="478"/>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评审步骤</w:t>
      </w:r>
      <w:r>
        <w:rPr>
          <w:rFonts w:hint="eastAsia" w:ascii="微软雅黑" w:hAnsi="微软雅黑" w:eastAsia="微软雅黑" w:cs="微软雅黑"/>
          <w:color w:val="000000" w:themeColor="text1"/>
          <w:spacing w:val="-6"/>
          <w:sz w:val="21"/>
          <w:szCs w:val="21"/>
          <w14:textFill>
            <w14:solidFill>
              <w14:schemeClr w14:val="tx1"/>
            </w14:solidFill>
          </w14:textFill>
        </w:rPr>
        <w:t>分值构成：</w:t>
      </w:r>
      <w:r>
        <w:rPr>
          <w:rFonts w:hint="eastAsia" w:ascii="微软雅黑" w:hAnsi="微软雅黑" w:eastAsia="微软雅黑" w:cs="微软雅黑"/>
          <w:color w:val="000000" w:themeColor="text1"/>
          <w:spacing w:val="12"/>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14:textFill>
            <w14:solidFill>
              <w14:schemeClr w14:val="tx1"/>
            </w14:solidFill>
          </w14:textFill>
        </w:rPr>
        <w:t>技术建议书</w:t>
      </w:r>
      <w:r>
        <w:rPr>
          <w:rFonts w:hint="eastAsia" w:ascii="微软雅黑" w:hAnsi="微软雅黑" w:eastAsia="微软雅黑" w:cs="微软雅黑"/>
          <w:color w:val="000000" w:themeColor="text1"/>
          <w:spacing w:val="57"/>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u w:val="single" w:color="auto"/>
          <w14:textFill>
            <w14:solidFill>
              <w14:schemeClr w14:val="tx1"/>
            </w14:solidFill>
          </w14:textFill>
        </w:rPr>
        <w:t>35</w:t>
      </w:r>
      <w:r>
        <w:rPr>
          <w:rFonts w:hint="eastAsia" w:ascii="微软雅黑" w:hAnsi="微软雅黑" w:eastAsia="微软雅黑" w:cs="微软雅黑"/>
          <w:color w:val="000000" w:themeColor="text1"/>
          <w:spacing w:val="42"/>
          <w:w w:val="101"/>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14:textFill>
            <w14:solidFill>
              <w14:schemeClr w14:val="tx1"/>
            </w14:solidFill>
          </w14:textFill>
        </w:rPr>
        <w:t xml:space="preserve"> 分</w:t>
      </w:r>
      <w:r>
        <w:rPr>
          <w:rFonts w:hint="eastAsia" w:ascii="微软雅黑" w:hAnsi="微软雅黑" w:eastAsia="微软雅黑" w:cs="微软雅黑"/>
          <w:color w:val="000000" w:themeColor="text1"/>
          <w:spacing w:val="23"/>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14:textFill>
            <w14:solidFill>
              <w14:schemeClr w14:val="tx1"/>
            </w14:solidFill>
          </w14:textFill>
        </w:rPr>
        <w:t>， 主要人员</w:t>
      </w:r>
      <w:r>
        <w:rPr>
          <w:rFonts w:hint="eastAsia" w:ascii="微软雅黑" w:hAnsi="微软雅黑" w:eastAsia="微软雅黑" w:cs="微软雅黑"/>
          <w:color w:val="000000" w:themeColor="text1"/>
          <w:spacing w:val="-6"/>
          <w:sz w:val="21"/>
          <w:szCs w:val="21"/>
          <w:u w:val="single" w:color="auto"/>
          <w14:textFill>
            <w14:solidFill>
              <w14:schemeClr w14:val="tx1"/>
            </w14:solidFill>
          </w14:textFill>
        </w:rPr>
        <w:t xml:space="preserve"> 25 </w:t>
      </w:r>
      <w:r>
        <w:rPr>
          <w:rFonts w:hint="eastAsia" w:ascii="微软雅黑" w:hAnsi="微软雅黑" w:eastAsia="微软雅黑" w:cs="微软雅黑"/>
          <w:color w:val="000000" w:themeColor="text1"/>
          <w:spacing w:val="-6"/>
          <w:sz w:val="21"/>
          <w:szCs w:val="21"/>
          <w14:textFill>
            <w14:solidFill>
              <w14:schemeClr w14:val="tx1"/>
            </w14:solidFill>
          </w14:textFill>
        </w:rPr>
        <w:t xml:space="preserve"> 分</w:t>
      </w:r>
      <w:r>
        <w:rPr>
          <w:rFonts w:hint="eastAsia" w:ascii="微软雅黑" w:hAnsi="微软雅黑" w:eastAsia="微软雅黑" w:cs="微软雅黑"/>
          <w:color w:val="000000" w:themeColor="text1"/>
          <w:spacing w:val="23"/>
          <w:w w:val="101"/>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14:textFill>
            <w14:solidFill>
              <w14:schemeClr w14:val="tx1"/>
            </w14:solidFill>
          </w14:textFill>
        </w:rPr>
        <w:t>， 业</w:t>
      </w:r>
      <w:r>
        <w:rPr>
          <w:rFonts w:hint="eastAsia" w:ascii="微软雅黑" w:hAnsi="微软雅黑" w:eastAsia="微软雅黑" w:cs="微软雅黑"/>
          <w:color w:val="000000" w:themeColor="text1"/>
          <w:spacing w:val="-7"/>
          <w:sz w:val="21"/>
          <w:szCs w:val="21"/>
          <w14:textFill>
            <w14:solidFill>
              <w14:schemeClr w14:val="tx1"/>
            </w14:solidFill>
          </w14:textFill>
        </w:rPr>
        <w:t>绩</w:t>
      </w:r>
      <w:r>
        <w:rPr>
          <w:rFonts w:hint="eastAsia" w:ascii="微软雅黑" w:hAnsi="微软雅黑" w:eastAsia="微软雅黑" w:cs="微软雅黑"/>
          <w:color w:val="000000" w:themeColor="text1"/>
          <w:spacing w:val="-7"/>
          <w:sz w:val="21"/>
          <w:szCs w:val="21"/>
          <w:u w:val="single" w:color="auto"/>
          <w14:textFill>
            <w14:solidFill>
              <w14:schemeClr w14:val="tx1"/>
            </w14:solidFill>
          </w14:textFill>
        </w:rPr>
        <w:t xml:space="preserve">  25  </w:t>
      </w:r>
      <w:r>
        <w:rPr>
          <w:rFonts w:hint="eastAsia" w:ascii="微软雅黑" w:hAnsi="微软雅黑" w:eastAsia="微软雅黑" w:cs="微软雅黑"/>
          <w:color w:val="000000" w:themeColor="text1"/>
          <w:spacing w:val="-7"/>
          <w:sz w:val="21"/>
          <w:szCs w:val="21"/>
          <w14:textFill>
            <w14:solidFill>
              <w14:schemeClr w14:val="tx1"/>
            </w14:solidFill>
          </w14:textFill>
        </w:rPr>
        <w:t>分</w:t>
      </w:r>
      <w:r>
        <w:rPr>
          <w:rFonts w:hint="eastAsia" w:ascii="微软雅黑" w:hAnsi="微软雅黑" w:eastAsia="微软雅黑" w:cs="微软雅黑"/>
          <w:color w:val="000000" w:themeColor="text1"/>
          <w:spacing w:val="23"/>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7"/>
          <w:sz w:val="21"/>
          <w:szCs w:val="21"/>
          <w14:textFill>
            <w14:solidFill>
              <w14:schemeClr w14:val="tx1"/>
            </w14:solidFill>
          </w14:textFill>
        </w:rPr>
        <w:t>， 履约信誉</w:t>
      </w:r>
      <w:r>
        <w:rPr>
          <w:rFonts w:hint="eastAsia" w:ascii="微软雅黑" w:hAnsi="微软雅黑" w:eastAsia="微软雅黑" w:cs="微软雅黑"/>
          <w:color w:val="000000" w:themeColor="text1"/>
          <w:spacing w:val="-7"/>
          <w:sz w:val="21"/>
          <w:szCs w:val="21"/>
          <w:u w:val="single" w:color="auto"/>
          <w14:textFill>
            <w14:solidFill>
              <w14:schemeClr w14:val="tx1"/>
            </w14:solidFill>
          </w14:textFill>
        </w:rPr>
        <w:t xml:space="preserve">  5 </w:t>
      </w:r>
      <w:r>
        <w:rPr>
          <w:rFonts w:hint="eastAsia" w:ascii="微软雅黑" w:hAnsi="微软雅黑" w:eastAsia="微软雅黑" w:cs="微软雅黑"/>
          <w:color w:val="000000" w:themeColor="text1"/>
          <w:spacing w:val="-7"/>
          <w:sz w:val="21"/>
          <w:szCs w:val="21"/>
          <w14:textFill>
            <w14:solidFill>
              <w14:schemeClr w14:val="tx1"/>
            </w14:solidFill>
          </w14:textFill>
        </w:rPr>
        <w:t>分</w:t>
      </w:r>
      <w:r>
        <w:rPr>
          <w:rFonts w:hint="eastAsia" w:ascii="微软雅黑" w:hAnsi="微软雅黑" w:eastAsia="微软雅黑" w:cs="微软雅黑"/>
          <w:color w:val="000000" w:themeColor="text1"/>
          <w:spacing w:val="23"/>
          <w:w w:val="101"/>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7"/>
          <w:sz w:val="21"/>
          <w:szCs w:val="21"/>
          <w14:textFill>
            <w14:solidFill>
              <w14:schemeClr w14:val="tx1"/>
            </w14:solidFill>
          </w14:textFill>
        </w:rPr>
        <w:t>， 投标</w:t>
      </w:r>
      <w:r>
        <w:rPr>
          <w:rFonts w:hint="eastAsia" w:ascii="微软雅黑" w:hAnsi="微软雅黑" w:eastAsia="微软雅黑" w:cs="微软雅黑"/>
          <w:color w:val="000000" w:themeColor="text1"/>
          <w:spacing w:val="-3"/>
          <w:sz w:val="21"/>
          <w:szCs w:val="21"/>
          <w14:textFill>
            <w14:solidFill>
              <w14:schemeClr w14:val="tx1"/>
            </w14:solidFill>
          </w14:textFill>
        </w:rPr>
        <w:t>报</w:t>
      </w:r>
      <w:r>
        <w:rPr>
          <w:rFonts w:hint="eastAsia" w:ascii="微软雅黑" w:hAnsi="微软雅黑" w:eastAsia="微软雅黑" w:cs="微软雅黑"/>
          <w:color w:val="000000" w:themeColor="text1"/>
          <w:spacing w:val="-12"/>
          <w:sz w:val="21"/>
          <w:szCs w:val="21"/>
          <w14:textFill>
            <w14:solidFill>
              <w14:schemeClr w14:val="tx1"/>
            </w14:solidFill>
          </w14:textFill>
        </w:rPr>
        <w:t>价评分</w:t>
      </w:r>
      <w:r>
        <w:rPr>
          <w:rFonts w:hint="eastAsia" w:ascii="微软雅黑" w:hAnsi="微软雅黑" w:eastAsia="微软雅黑" w:cs="微软雅黑"/>
          <w:color w:val="000000" w:themeColor="text1"/>
          <w:spacing w:val="3"/>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12"/>
          <w:sz w:val="21"/>
          <w:szCs w:val="21"/>
          <w:u w:val="single" w:color="auto"/>
          <w14:textFill>
            <w14:solidFill>
              <w14:schemeClr w14:val="tx1"/>
            </w14:solidFill>
          </w14:textFill>
        </w:rPr>
        <w:t>10</w:t>
      </w:r>
      <w:r>
        <w:rPr>
          <w:rFonts w:hint="eastAsia" w:ascii="微软雅黑" w:hAnsi="微软雅黑" w:eastAsia="微软雅黑" w:cs="微软雅黑"/>
          <w:color w:val="000000" w:themeColor="text1"/>
          <w:spacing w:val="43"/>
          <w:w w:val="101"/>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8"/>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2"/>
          <w:sz w:val="21"/>
          <w:szCs w:val="21"/>
          <w14:textFill>
            <w14:solidFill>
              <w14:schemeClr w14:val="tx1"/>
            </w14:solidFill>
          </w14:textFill>
        </w:rPr>
        <w:t>分</w:t>
      </w:r>
      <w:r>
        <w:rPr>
          <w:rFonts w:hint="eastAsia" w:ascii="微软雅黑" w:hAnsi="微软雅黑" w:eastAsia="微软雅黑" w:cs="微软雅黑"/>
          <w:color w:val="000000" w:themeColor="text1"/>
          <w:spacing w:val="13"/>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2"/>
          <w:sz w:val="21"/>
          <w:szCs w:val="21"/>
          <w14:textFill>
            <w14:solidFill>
              <w14:schemeClr w14:val="tx1"/>
            </w14:solidFill>
          </w14:textFill>
        </w:rPr>
        <w:t>。</w:t>
      </w:r>
    </w:p>
    <w:p>
      <w:pPr>
        <w:spacing w:before="1" w:line="184" w:lineRule="auto"/>
        <w:ind w:left="475"/>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9"/>
          <w:sz w:val="21"/>
          <w:szCs w:val="21"/>
          <w14:textFill>
            <w14:solidFill>
              <w14:schemeClr w14:val="tx1"/>
            </w14:solidFill>
          </w14:textFill>
        </w:rPr>
        <w:t>打分步骤汇总方式：</w:t>
      </w:r>
      <w:r>
        <w:rPr>
          <w:rFonts w:hint="eastAsia" w:ascii="微软雅黑" w:hAnsi="微软雅黑" w:eastAsia="微软雅黑" w:cs="微软雅黑"/>
          <w:color w:val="000000" w:themeColor="text1"/>
          <w:spacing w:val="-13"/>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58"/>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9"/>
          <w:sz w:val="21"/>
          <w:szCs w:val="21"/>
          <w:u w:val="single" w:color="auto"/>
          <w14:textFill>
            <w14:solidFill>
              <w14:schemeClr w14:val="tx1"/>
            </w14:solidFill>
          </w14:textFill>
        </w:rPr>
        <w:t>评委汇总</w:t>
      </w:r>
      <w:r>
        <w:rPr>
          <w:rFonts w:hint="eastAsia" w:ascii="微软雅黑" w:hAnsi="微软雅黑" w:eastAsia="微软雅黑" w:cs="微软雅黑"/>
          <w:color w:val="000000" w:themeColor="text1"/>
          <w:sz w:val="21"/>
          <w:szCs w:val="21"/>
          <w:u w:val="single" w:color="auto"/>
          <w14:textFill>
            <w14:solidFill>
              <w14:schemeClr w14:val="tx1"/>
            </w14:solidFill>
          </w14:textFill>
        </w:rPr>
        <w:t xml:space="preserve">   </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5" w:lineRule="auto"/>
        <w:ind w:left="4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0"/>
          <w:sz w:val="21"/>
          <w:szCs w:val="21"/>
          <w14:textFill>
            <w14:solidFill>
              <w14:schemeClr w14:val="tx1"/>
            </w14:solidFill>
          </w14:textFill>
        </w:rPr>
        <w:t>评委打分计算规则：</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4" w:lineRule="auto"/>
        <w:ind w:left="49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6"/>
          <w:sz w:val="21"/>
          <w:szCs w:val="21"/>
          <w14:textFill>
            <w14:solidFill>
              <w14:schemeClr w14:val="tx1"/>
            </w14:solidFill>
          </w14:textFill>
        </w:rPr>
        <w:t>当评委总数＜</w:t>
      </w:r>
      <w:r>
        <w:rPr>
          <w:rFonts w:hint="eastAsia" w:ascii="微软雅黑" w:hAnsi="微软雅黑" w:eastAsia="微软雅黑" w:cs="微软雅黑"/>
          <w:color w:val="000000" w:themeColor="text1"/>
          <w:spacing w:val="-6"/>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u w:val="single" w:color="auto"/>
          <w:lang w:val="en-US" w:eastAsia="zh-CN"/>
          <w14:textFill>
            <w14:solidFill>
              <w14:schemeClr w14:val="tx1"/>
            </w14:solidFill>
          </w14:textFill>
        </w:rPr>
        <w:t>5</w:t>
      </w:r>
      <w:r>
        <w:rPr>
          <w:rFonts w:hint="eastAsia" w:ascii="微软雅黑" w:hAnsi="微软雅黑" w:eastAsia="微软雅黑" w:cs="微软雅黑"/>
          <w:color w:val="000000" w:themeColor="text1"/>
          <w:spacing w:val="-6"/>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14:textFill>
            <w14:solidFill>
              <w14:schemeClr w14:val="tx1"/>
            </w14:solidFill>
          </w14:textFill>
        </w:rPr>
        <w:t>时</w:t>
      </w:r>
      <w:r>
        <w:rPr>
          <w:rFonts w:hint="eastAsia" w:ascii="微软雅黑" w:hAnsi="微软雅黑" w:eastAsia="微软雅黑" w:cs="微软雅黑"/>
          <w:color w:val="000000" w:themeColor="text1"/>
          <w:spacing w:val="-36"/>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14:textFill>
            <w14:solidFill>
              <w14:schemeClr w14:val="tx1"/>
            </w14:solidFill>
          </w14:textFill>
        </w:rPr>
        <w:t>，去掉</w:t>
      </w:r>
      <w:r>
        <w:rPr>
          <w:rFonts w:hint="eastAsia" w:ascii="微软雅黑" w:hAnsi="微软雅黑" w:eastAsia="微软雅黑" w:cs="微软雅黑"/>
          <w:color w:val="000000" w:themeColor="text1"/>
          <w:spacing w:val="-6"/>
          <w:sz w:val="21"/>
          <w:szCs w:val="21"/>
          <w:u w:val="single" w:color="auto"/>
          <w14:textFill>
            <w14:solidFill>
              <w14:schemeClr w14:val="tx1"/>
            </w14:solidFill>
          </w14:textFill>
        </w:rPr>
        <w:t xml:space="preserve">  0  </w:t>
      </w:r>
      <w:r>
        <w:rPr>
          <w:rFonts w:hint="eastAsia" w:ascii="微软雅黑" w:hAnsi="微软雅黑" w:eastAsia="微软雅黑" w:cs="微软雅黑"/>
          <w:color w:val="000000" w:themeColor="text1"/>
          <w:spacing w:val="-6"/>
          <w:sz w:val="21"/>
          <w:szCs w:val="21"/>
          <w14:textFill>
            <w14:solidFill>
              <w14:schemeClr w14:val="tx1"/>
            </w14:solidFill>
          </w14:textFill>
        </w:rPr>
        <w:t>个最高分</w:t>
      </w:r>
      <w:r>
        <w:rPr>
          <w:rFonts w:hint="eastAsia" w:ascii="微软雅黑" w:hAnsi="微软雅黑" w:eastAsia="微软雅黑" w:cs="微软雅黑"/>
          <w:color w:val="000000" w:themeColor="text1"/>
          <w:spacing w:val="-3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14:textFill>
            <w14:solidFill>
              <w14:schemeClr w14:val="tx1"/>
            </w14:solidFill>
          </w14:textFill>
        </w:rPr>
        <w:t>，去掉</w:t>
      </w:r>
      <w:r>
        <w:rPr>
          <w:rFonts w:hint="eastAsia" w:ascii="微软雅黑" w:hAnsi="微软雅黑" w:eastAsia="微软雅黑" w:cs="微软雅黑"/>
          <w:color w:val="000000" w:themeColor="text1"/>
          <w:spacing w:val="-6"/>
          <w:sz w:val="21"/>
          <w:szCs w:val="21"/>
          <w:u w:val="single" w:color="auto"/>
          <w14:textFill>
            <w14:solidFill>
              <w14:schemeClr w14:val="tx1"/>
            </w14:solidFill>
          </w14:textFill>
        </w:rPr>
        <w:t xml:space="preserve">  0  </w:t>
      </w:r>
      <w:r>
        <w:rPr>
          <w:rFonts w:hint="eastAsia" w:ascii="微软雅黑" w:hAnsi="微软雅黑" w:eastAsia="微软雅黑" w:cs="微软雅黑"/>
          <w:color w:val="000000" w:themeColor="text1"/>
          <w:spacing w:val="-6"/>
          <w:sz w:val="21"/>
          <w:szCs w:val="21"/>
          <w14:textFill>
            <w14:solidFill>
              <w14:schemeClr w14:val="tx1"/>
            </w14:solidFill>
          </w14:textFill>
        </w:rPr>
        <w:t>个最低分</w:t>
      </w:r>
      <w:r>
        <w:rPr>
          <w:rFonts w:hint="eastAsia" w:ascii="微软雅黑" w:hAnsi="微软雅黑" w:eastAsia="微软雅黑" w:cs="微软雅黑"/>
          <w:color w:val="000000" w:themeColor="text1"/>
          <w:spacing w:val="-36"/>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6"/>
          <w:sz w:val="21"/>
          <w:szCs w:val="21"/>
          <w14:textFill>
            <w14:solidFill>
              <w14:schemeClr w14:val="tx1"/>
            </w14:solidFill>
          </w14:textFill>
        </w:rPr>
        <w:t>，然后计算平均值；</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4" w:lineRule="auto"/>
        <w:ind w:left="49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当评委总数≥</w:t>
      </w:r>
      <w:r>
        <w:rPr>
          <w:rFonts w:hint="eastAsia" w:ascii="微软雅黑" w:hAnsi="微软雅黑" w:eastAsia="微软雅黑" w:cs="微软雅黑"/>
          <w:color w:val="000000" w:themeColor="text1"/>
          <w:spacing w:val="62"/>
          <w:w w:val="101"/>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62"/>
          <w:w w:val="101"/>
          <w:sz w:val="21"/>
          <w:szCs w:val="21"/>
          <w:u w:val="single" w:color="auto"/>
          <w:lang w:val="en-US" w:eastAsia="zh-CN"/>
          <w14:textFill>
            <w14:solidFill>
              <w14:schemeClr w14:val="tx1"/>
            </w14:solidFill>
          </w14:textFill>
        </w:rPr>
        <w:t>5</w:t>
      </w:r>
      <w:r>
        <w:rPr>
          <w:rFonts w:hint="eastAsia" w:ascii="微软雅黑" w:hAnsi="微软雅黑" w:eastAsia="微软雅黑" w:cs="微软雅黑"/>
          <w:color w:val="000000" w:themeColor="text1"/>
          <w:spacing w:val="-5"/>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1"/>
          <w:szCs w:val="21"/>
          <w14:textFill>
            <w14:solidFill>
              <w14:schemeClr w14:val="tx1"/>
            </w14:solidFill>
          </w14:textFill>
        </w:rPr>
        <w:t>时</w:t>
      </w:r>
      <w:r>
        <w:rPr>
          <w:rFonts w:hint="eastAsia" w:ascii="微软雅黑" w:hAnsi="微软雅黑" w:eastAsia="微软雅黑" w:cs="微软雅黑"/>
          <w:color w:val="000000" w:themeColor="text1"/>
          <w:spacing w:val="-3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5"/>
          <w:sz w:val="21"/>
          <w:szCs w:val="21"/>
          <w14:textFill>
            <w14:solidFill>
              <w14:schemeClr w14:val="tx1"/>
            </w14:solidFill>
          </w14:textFill>
        </w:rPr>
        <w:t>，去掉</w:t>
      </w:r>
      <w:r>
        <w:rPr>
          <w:rFonts w:hint="eastAsia" w:ascii="微软雅黑" w:hAnsi="微软雅黑" w:eastAsia="微软雅黑" w:cs="微软雅黑"/>
          <w:color w:val="000000" w:themeColor="text1"/>
          <w:spacing w:val="-5"/>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1"/>
          <w:szCs w:val="21"/>
          <w:u w:val="single" w:color="auto"/>
          <w:lang w:val="en-US" w:eastAsia="zh-CN"/>
          <w14:textFill>
            <w14:solidFill>
              <w14:schemeClr w14:val="tx1"/>
            </w14:solidFill>
          </w14:textFill>
        </w:rPr>
        <w:t>0</w:t>
      </w:r>
      <w:r>
        <w:rPr>
          <w:rFonts w:hint="eastAsia" w:ascii="微软雅黑" w:hAnsi="微软雅黑" w:eastAsia="微软雅黑" w:cs="微软雅黑"/>
          <w:color w:val="000000" w:themeColor="text1"/>
          <w:spacing w:val="-5"/>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1"/>
          <w:szCs w:val="21"/>
          <w14:textFill>
            <w14:solidFill>
              <w14:schemeClr w14:val="tx1"/>
            </w14:solidFill>
          </w14:textFill>
        </w:rPr>
        <w:t>个最高分</w:t>
      </w:r>
      <w:r>
        <w:rPr>
          <w:rFonts w:hint="eastAsia" w:ascii="微软雅黑" w:hAnsi="微软雅黑" w:eastAsia="微软雅黑" w:cs="微软雅黑"/>
          <w:color w:val="000000" w:themeColor="text1"/>
          <w:spacing w:val="-3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5"/>
          <w:sz w:val="21"/>
          <w:szCs w:val="21"/>
          <w14:textFill>
            <w14:solidFill>
              <w14:schemeClr w14:val="tx1"/>
            </w14:solidFill>
          </w14:textFill>
        </w:rPr>
        <w:t>，去掉</w:t>
      </w:r>
      <w:r>
        <w:rPr>
          <w:rFonts w:hint="eastAsia" w:ascii="微软雅黑" w:hAnsi="微软雅黑" w:eastAsia="微软雅黑" w:cs="微软雅黑"/>
          <w:color w:val="000000" w:themeColor="text1"/>
          <w:spacing w:val="-5"/>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1"/>
          <w:szCs w:val="21"/>
          <w:u w:val="single" w:color="auto"/>
          <w:lang w:val="en-US" w:eastAsia="zh-CN"/>
          <w14:textFill>
            <w14:solidFill>
              <w14:schemeClr w14:val="tx1"/>
            </w14:solidFill>
          </w14:textFill>
        </w:rPr>
        <w:t>0</w:t>
      </w:r>
      <w:r>
        <w:rPr>
          <w:rFonts w:hint="eastAsia" w:ascii="微软雅黑" w:hAnsi="微软雅黑" w:eastAsia="微软雅黑" w:cs="微软雅黑"/>
          <w:color w:val="000000" w:themeColor="text1"/>
          <w:spacing w:val="-5"/>
          <w:sz w:val="21"/>
          <w:szCs w:val="21"/>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1"/>
          <w:szCs w:val="21"/>
          <w14:textFill>
            <w14:solidFill>
              <w14:schemeClr w14:val="tx1"/>
            </w14:solidFill>
          </w14:textFill>
        </w:rPr>
        <w:t>个最低分</w:t>
      </w:r>
      <w:r>
        <w:rPr>
          <w:rFonts w:hint="eastAsia" w:ascii="微软雅黑" w:hAnsi="微软雅黑" w:eastAsia="微软雅黑" w:cs="微软雅黑"/>
          <w:color w:val="000000" w:themeColor="text1"/>
          <w:spacing w:val="-3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5"/>
          <w:sz w:val="21"/>
          <w:szCs w:val="21"/>
          <w14:textFill>
            <w14:solidFill>
              <w14:schemeClr w14:val="tx1"/>
            </w14:solidFill>
          </w14:textFill>
        </w:rPr>
        <w:t>，然后计算平均值。</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5" w:lineRule="auto"/>
        <w:ind w:left="4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评标价：</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478"/>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8"/>
          <w:sz w:val="21"/>
          <w:szCs w:val="21"/>
          <w14:textFill>
            <w14:solidFill>
              <w14:schemeClr w14:val="tx1"/>
            </w14:solidFill>
          </w14:textFill>
        </w:rPr>
        <w:t>评标价=投标总价</w:t>
      </w:r>
    </w:p>
    <w:p>
      <w:pPr>
        <w:spacing w:before="331" w:line="185" w:lineRule="auto"/>
        <w:ind w:left="473"/>
        <w:rPr>
          <w:rFonts w:hint="eastAsia" w:ascii="微软雅黑" w:hAnsi="微软雅黑" w:eastAsia="微软雅黑" w:cs="微软雅黑"/>
          <w:color w:val="000000" w:themeColor="text1"/>
          <w:sz w:val="27"/>
          <w:szCs w:val="27"/>
          <w14:textFill>
            <w14:solidFill>
              <w14:schemeClr w14:val="tx1"/>
            </w14:solidFill>
          </w14:textFill>
        </w:rPr>
      </w:pPr>
      <w:r>
        <w:rPr>
          <w:rFonts w:hint="eastAsia" w:ascii="微软雅黑" w:hAnsi="微软雅黑" w:eastAsia="微软雅黑" w:cs="微软雅黑"/>
          <w:color w:val="000000" w:themeColor="text1"/>
          <w:spacing w:val="2"/>
          <w:sz w:val="27"/>
          <w:szCs w:val="27"/>
          <w14:textFill>
            <w14:solidFill>
              <w14:schemeClr w14:val="tx1"/>
            </w14:solidFill>
          </w14:textFill>
        </w:rPr>
        <w:t>三</w:t>
      </w:r>
      <w:r>
        <w:rPr>
          <w:rFonts w:hint="eastAsia" w:ascii="微软雅黑" w:hAnsi="微软雅黑" w:eastAsia="微软雅黑" w:cs="微软雅黑"/>
          <w:color w:val="000000" w:themeColor="text1"/>
          <w:spacing w:val="-32"/>
          <w:sz w:val="27"/>
          <w:szCs w:val="27"/>
          <w14:textFill>
            <w14:solidFill>
              <w14:schemeClr w14:val="tx1"/>
            </w14:solidFill>
          </w14:textFill>
        </w:rPr>
        <w:t xml:space="preserve"> </w:t>
      </w:r>
      <w:r>
        <w:rPr>
          <w:rFonts w:hint="eastAsia" w:ascii="微软雅黑" w:hAnsi="微软雅黑" w:eastAsia="微软雅黑" w:cs="微软雅黑"/>
          <w:color w:val="000000" w:themeColor="text1"/>
          <w:spacing w:val="2"/>
          <w:sz w:val="27"/>
          <w:szCs w:val="27"/>
          <w14:textFill>
            <w14:solidFill>
              <w14:schemeClr w14:val="tx1"/>
            </w14:solidFill>
          </w14:textFill>
        </w:rPr>
        <w:t>、评审步骤：</w:t>
      </w:r>
    </w:p>
    <w:p>
      <w:pPr>
        <w:spacing w:before="90" w:line="360" w:lineRule="auto"/>
        <w:ind w:firstLine="456"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9"/>
          <w:sz w:val="21"/>
          <w:szCs w:val="21"/>
          <w14:textFill>
            <w14:solidFill>
              <w14:schemeClr w14:val="tx1"/>
            </w14:solidFill>
          </w14:textFill>
        </w:rPr>
        <w:t>一信封评审步骤包括：形式评审与响应性评审、资格评审、技术建议书、主要人员、业绩</w:t>
      </w:r>
      <w:r>
        <w:rPr>
          <w:rFonts w:hint="eastAsia" w:ascii="微软雅黑" w:hAnsi="微软雅黑" w:eastAsia="微软雅黑" w:cs="微软雅黑"/>
          <w:color w:val="000000" w:themeColor="text1"/>
          <w:spacing w:val="-25"/>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9"/>
          <w:sz w:val="21"/>
          <w:szCs w:val="21"/>
          <w14:textFill>
            <w14:solidFill>
              <w14:schemeClr w14:val="tx1"/>
            </w14:solidFill>
          </w14:textFill>
        </w:rPr>
        <w:t>、履</w:t>
      </w:r>
      <w:r>
        <w:rPr>
          <w:rFonts w:hint="eastAsia" w:ascii="微软雅黑" w:hAnsi="微软雅黑" w:eastAsia="微软雅黑" w:cs="微软雅黑"/>
          <w:color w:val="000000" w:themeColor="text1"/>
          <w:spacing w:val="8"/>
          <w:sz w:val="21"/>
          <w:szCs w:val="21"/>
          <w14:textFill>
            <w14:solidFill>
              <w14:schemeClr w14:val="tx1"/>
            </w14:solidFill>
          </w14:textFill>
        </w:rPr>
        <w:t>约信</w:t>
      </w:r>
      <w:r>
        <w:rPr>
          <w:rFonts w:hint="eastAsia" w:ascii="微软雅黑" w:hAnsi="微软雅黑" w:eastAsia="微软雅黑" w:cs="微软雅黑"/>
          <w:color w:val="000000" w:themeColor="text1"/>
          <w:sz w:val="21"/>
          <w:szCs w:val="21"/>
          <w14:textFill>
            <w14:solidFill>
              <w14:schemeClr w14:val="tx1"/>
            </w14:solidFill>
          </w14:textFill>
        </w:rPr>
        <w:t>誉</w:t>
      </w: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2"/>
          <w:sz w:val="21"/>
          <w:szCs w:val="21"/>
          <w14:textFill>
            <w14:solidFill>
              <w14:schemeClr w14:val="tx1"/>
            </w14:solidFill>
          </w14:textFill>
        </w:rPr>
        <w:t>形式评审与响应性评审</w:t>
      </w:r>
    </w:p>
    <w:p>
      <w:pPr>
        <w:spacing w:line="157" w:lineRule="exact"/>
        <w:rPr>
          <w:rFonts w:hint="eastAsia" w:ascii="微软雅黑" w:hAnsi="微软雅黑" w:eastAsia="微软雅黑" w:cs="微软雅黑"/>
          <w:color w:val="000000" w:themeColor="text1"/>
          <w14:textFill>
            <w14:solidFill>
              <w14:schemeClr w14:val="tx1"/>
            </w14:solidFill>
          </w14:textFill>
        </w:rPr>
      </w:pPr>
    </w:p>
    <w:tbl>
      <w:tblPr>
        <w:tblStyle w:val="6"/>
        <w:tblW w:w="10184"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27"/>
        <w:gridCol w:w="2392"/>
        <w:gridCol w:w="6765"/>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2" w:hRule="atLeast"/>
        </w:trPr>
        <w:tc>
          <w:tcPr>
            <w:tcW w:w="1027" w:type="dxa"/>
            <w:noWrap w:val="0"/>
            <w:vAlign w:val="top"/>
          </w:tcPr>
          <w:p>
            <w:pPr>
              <w:spacing w:before="209" w:line="185" w:lineRule="auto"/>
              <w:ind w:left="53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序号</w:t>
            </w:r>
          </w:p>
        </w:tc>
        <w:tc>
          <w:tcPr>
            <w:tcW w:w="2392" w:type="dxa"/>
            <w:noWrap w:val="0"/>
            <w:vAlign w:val="top"/>
          </w:tcPr>
          <w:p>
            <w:pPr>
              <w:spacing w:before="224" w:line="186" w:lineRule="auto"/>
              <w:ind w:left="84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评审因素</w:t>
            </w:r>
          </w:p>
        </w:tc>
        <w:tc>
          <w:tcPr>
            <w:tcW w:w="6765" w:type="dxa"/>
            <w:noWrap w:val="0"/>
            <w:vAlign w:val="top"/>
          </w:tcPr>
          <w:p>
            <w:pPr>
              <w:spacing w:before="224" w:line="186" w:lineRule="auto"/>
              <w:ind w:left="2888"/>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评审标准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33" w:hRule="atLeast"/>
        </w:trPr>
        <w:tc>
          <w:tcPr>
            <w:tcW w:w="1027" w:type="dxa"/>
            <w:noWrap w:val="0"/>
            <w:vAlign w:val="top"/>
          </w:tcPr>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40" w:lineRule="auto"/>
              <w:ind w:left="4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2392" w:type="dxa"/>
            <w:noWrap w:val="0"/>
            <w:vAlign w:val="top"/>
          </w:tcPr>
          <w:p>
            <w:pPr>
              <w:spacing w:before="202" w:line="24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投标文件按照招标文件规</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6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定的格式、内容填写，字</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迹清晰可辨</w:t>
            </w:r>
          </w:p>
        </w:tc>
        <w:tc>
          <w:tcPr>
            <w:tcW w:w="6765" w:type="dxa"/>
            <w:noWrap w:val="0"/>
            <w:vAlign w:val="top"/>
          </w:tcPr>
          <w:p>
            <w:pPr>
              <w:spacing w:before="202" w:line="24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a.投标函按招标文件规定填报了项目名称、标段号、补遗书编号（如有</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40" w:lineRule="auto"/>
              <w:ind w:left="9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)、监理服务期限、工程质量要求及安全目标；b.投标文件组成齐全完</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整，内容均按规定填写</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566" w:hRule="atLeast"/>
        </w:trPr>
        <w:tc>
          <w:tcPr>
            <w:tcW w:w="1027" w:type="dxa"/>
            <w:tcBorders>
              <w:top w:val="single" w:color="7C7C7C" w:sz="8" w:space="0"/>
            </w:tcBorders>
            <w:noWrap w:val="0"/>
            <w:vAlign w:val="top"/>
          </w:tcPr>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4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2392" w:type="dxa"/>
            <w:tcBorders>
              <w:top w:val="single" w:color="7C7C7C" w:sz="8" w:space="0"/>
            </w:tcBorders>
            <w:noWrap w:val="0"/>
            <w:vAlign w:val="top"/>
          </w:tcPr>
          <w:p>
            <w:pPr>
              <w:spacing w:before="199" w:line="24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投标文件上法定代表人或</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其委托代理人的签字、投</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标人的单位章盖章齐全，</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40"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符合招标文件规定</w:t>
            </w:r>
          </w:p>
        </w:tc>
        <w:tc>
          <w:tcPr>
            <w:tcW w:w="6765" w:type="dxa"/>
            <w:tcBorders>
              <w:top w:val="single" w:color="7C7C7C" w:sz="8" w:space="0"/>
            </w:tcBorders>
            <w:noWrap w:val="0"/>
            <w:vAlign w:val="top"/>
          </w:tcPr>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投标文件上法定代表人或其委托代理人的签字、投标人的单位章盖章齐</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6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4"/>
                <w:sz w:val="21"/>
                <w:szCs w:val="21"/>
                <w14:textFill>
                  <w14:solidFill>
                    <w14:schemeClr w14:val="tx1"/>
                  </w14:solidFill>
                </w14:textFill>
              </w:rPr>
              <w:t>全，符合招标文件规定</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3867" w:hRule="atLeast"/>
        </w:trPr>
        <w:tc>
          <w:tcPr>
            <w:tcW w:w="1027" w:type="dxa"/>
            <w:noWrap w:val="0"/>
            <w:vAlign w:val="top"/>
          </w:tcPr>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4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2392" w:type="dxa"/>
            <w:noWrap w:val="0"/>
            <w:vAlign w:val="top"/>
          </w:tcPr>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投标人按照招标文件的规</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6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定提供了投标保证金</w:t>
            </w:r>
          </w:p>
        </w:tc>
        <w:tc>
          <w:tcPr>
            <w:tcW w:w="6765" w:type="dxa"/>
            <w:noWrap w:val="0"/>
            <w:vAlign w:val="top"/>
          </w:tcPr>
          <w:p>
            <w:pPr>
              <w:spacing w:before="213" w:line="24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a.投标保证金金额符合招标文件规定的金额，且投标保证金有效期不少</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7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于投标有效期；b.若投标保证金采用现金或支票形式提交，投标人应在</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4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递交投标文件截止时间之前</w:t>
            </w:r>
            <w:r>
              <w:rPr>
                <w:rFonts w:hint="eastAsia" w:ascii="微软雅黑" w:hAnsi="微软雅黑" w:eastAsia="微软雅黑" w:cs="微软雅黑"/>
                <w:color w:val="000000" w:themeColor="text1"/>
                <w:spacing w:val="-3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14:textFill>
                  <w14:solidFill>
                    <w14:schemeClr w14:val="tx1"/>
                  </w14:solidFill>
                </w14:textFill>
              </w:rPr>
              <w:t>，将投标保证金由投标人的基</w:t>
            </w:r>
            <w:r>
              <w:rPr>
                <w:rFonts w:hint="eastAsia" w:ascii="微软雅黑" w:hAnsi="微软雅黑" w:eastAsia="微软雅黑" w:cs="微软雅黑"/>
                <w:color w:val="000000" w:themeColor="text1"/>
                <w:spacing w:val="-2"/>
                <w:sz w:val="21"/>
                <w:szCs w:val="21"/>
                <w14:textFill>
                  <w14:solidFill>
                    <w14:schemeClr w14:val="tx1"/>
                  </w14:solidFill>
                </w14:textFill>
              </w:rPr>
              <w:t>本账户转入招</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4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标人指定账户；c.若投标保证金采用银行保函形式提交，银行保函的格</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式、开具保函的银行均满足招标文件要求</w:t>
            </w:r>
            <w:r>
              <w:rPr>
                <w:rFonts w:hint="eastAsia" w:ascii="微软雅黑" w:hAnsi="微软雅黑" w:eastAsia="微软雅黑" w:cs="微软雅黑"/>
                <w:color w:val="000000" w:themeColor="text1"/>
                <w:spacing w:val="-3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14:textFill>
                  <w14:solidFill>
                    <w14:schemeClr w14:val="tx1"/>
                  </w14:solidFill>
                </w14:textFill>
              </w:rPr>
              <w:t>，且在递</w:t>
            </w:r>
            <w:r>
              <w:rPr>
                <w:rFonts w:hint="eastAsia" w:ascii="微软雅黑" w:hAnsi="微软雅黑" w:eastAsia="微软雅黑" w:cs="微软雅黑"/>
                <w:color w:val="000000" w:themeColor="text1"/>
                <w:spacing w:val="-2"/>
                <w:sz w:val="21"/>
                <w:szCs w:val="21"/>
                <w14:textFill>
                  <w14:solidFill>
                    <w14:schemeClr w14:val="tx1"/>
                  </w14:solidFill>
                </w14:textFill>
              </w:rPr>
              <w:t>交投标文件截止时间</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之前向招标人提交了银行保函原件</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41" w:hRule="atLeast"/>
        </w:trPr>
        <w:tc>
          <w:tcPr>
            <w:tcW w:w="1027" w:type="dxa"/>
            <w:noWrap w:val="0"/>
            <w:vAlign w:val="top"/>
          </w:tcPr>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4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2392" w:type="dxa"/>
            <w:noWrap w:val="0"/>
            <w:vAlign w:val="top"/>
          </w:tcPr>
          <w:p>
            <w:pPr>
              <w:spacing w:before="216" w:line="24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投标人法定代表人授权委</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6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托代理人签署投标文件的</w:t>
            </w: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7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,须提交授权委托书</w:t>
            </w:r>
          </w:p>
        </w:tc>
        <w:tc>
          <w:tcPr>
            <w:tcW w:w="6765" w:type="dxa"/>
            <w:noWrap w:val="0"/>
            <w:vAlign w:val="top"/>
          </w:tcPr>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line="24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40"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投标人法定代表人授权委托代理人签署投标文件的</w:t>
            </w:r>
            <w:r>
              <w:rPr>
                <w:rFonts w:hint="eastAsia" w:ascii="微软雅黑" w:hAnsi="微软雅黑" w:eastAsia="微软雅黑" w:cs="微软雅黑"/>
                <w:color w:val="000000" w:themeColor="text1"/>
                <w:spacing w:val="-3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14:textFill>
                  <w14:solidFill>
                    <w14:schemeClr w14:val="tx1"/>
                  </w14:solidFill>
                </w14:textFill>
              </w:rPr>
              <w:t>，须</w:t>
            </w:r>
            <w:r>
              <w:rPr>
                <w:rFonts w:hint="eastAsia" w:ascii="微软雅黑" w:hAnsi="微软雅黑" w:eastAsia="微软雅黑" w:cs="微软雅黑"/>
                <w:color w:val="000000" w:themeColor="text1"/>
                <w:spacing w:val="-2"/>
                <w:sz w:val="21"/>
                <w:szCs w:val="21"/>
                <w14:textFill>
                  <w14:solidFill>
                    <w14:schemeClr w14:val="tx1"/>
                  </w14:solidFill>
                </w14:textFill>
              </w:rPr>
              <w:t>提交授权委托书</w:t>
            </w:r>
          </w:p>
        </w:tc>
      </w:tr>
    </w:tbl>
    <w:p>
      <w:pPr>
        <w:spacing w:line="170" w:lineRule="exact"/>
        <w:rPr>
          <w:rFonts w:hint="eastAsia" w:ascii="微软雅黑" w:hAnsi="微软雅黑" w:eastAsia="微软雅黑" w:cs="微软雅黑"/>
          <w:color w:val="000000" w:themeColor="text1"/>
          <w14:textFill>
            <w14:solidFill>
              <w14:schemeClr w14:val="tx1"/>
            </w14:solidFill>
          </w14:textFill>
        </w:rPr>
      </w:pPr>
    </w:p>
    <w:tbl>
      <w:tblPr>
        <w:tblStyle w:val="6"/>
        <w:tblW w:w="990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27"/>
        <w:gridCol w:w="2415"/>
        <w:gridCol w:w="6467"/>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69" w:hRule="atLeast"/>
        </w:trPr>
        <w:tc>
          <w:tcPr>
            <w:tcW w:w="102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4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2415" w:type="dxa"/>
            <w:noWrap w:val="0"/>
            <w:vAlign w:val="top"/>
          </w:tcPr>
          <w:p>
            <w:pPr>
              <w:spacing w:before="202" w:line="36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投标人法定代表人亲自签</w:t>
            </w:r>
            <w:r>
              <w:rPr>
                <w:rFonts w:hint="eastAsia" w:ascii="微软雅黑" w:hAnsi="微软雅黑" w:eastAsia="微软雅黑" w:cs="微软雅黑"/>
                <w:color w:val="000000" w:themeColor="text1"/>
                <w:spacing w:val="-4"/>
                <w:sz w:val="21"/>
                <w:szCs w:val="21"/>
                <w14:textFill>
                  <w14:solidFill>
                    <w14:schemeClr w14:val="tx1"/>
                  </w14:solidFill>
                </w14:textFill>
              </w:rPr>
              <w:t>署投标文件的，提供了法定代表人身份证明，且法</w:t>
            </w:r>
            <w:r>
              <w:rPr>
                <w:rFonts w:hint="eastAsia" w:ascii="微软雅黑" w:hAnsi="微软雅黑" w:eastAsia="微软雅黑" w:cs="微软雅黑"/>
                <w:color w:val="000000" w:themeColor="text1"/>
                <w:spacing w:val="-2"/>
                <w:sz w:val="21"/>
                <w:szCs w:val="21"/>
                <w14:textFill>
                  <w14:solidFill>
                    <w14:schemeClr w14:val="tx1"/>
                  </w14:solidFill>
                </w14:textFill>
              </w:rPr>
              <w:t>定代表人在法定代表人身份证明上签名</w:t>
            </w:r>
          </w:p>
        </w:tc>
        <w:tc>
          <w:tcPr>
            <w:tcW w:w="646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标人法定代表人亲自签署投标文件的，提供了法定代</w:t>
            </w:r>
            <w:r>
              <w:rPr>
                <w:rFonts w:hint="eastAsia" w:ascii="微软雅黑" w:hAnsi="微软雅黑" w:eastAsia="微软雅黑" w:cs="微软雅黑"/>
                <w:color w:val="000000" w:themeColor="text1"/>
                <w:spacing w:val="-2"/>
                <w:sz w:val="21"/>
                <w:szCs w:val="21"/>
                <w14:textFill>
                  <w14:solidFill>
                    <w14:schemeClr w14:val="tx1"/>
                  </w14:solidFill>
                </w14:textFill>
              </w:rPr>
              <w:t>表人身份证明，</w:t>
            </w:r>
            <w:r>
              <w:rPr>
                <w:rFonts w:hint="eastAsia" w:ascii="微软雅黑" w:hAnsi="微软雅黑" w:eastAsia="微软雅黑" w:cs="微软雅黑"/>
                <w:color w:val="000000" w:themeColor="text1"/>
                <w:spacing w:val="-1"/>
                <w:sz w:val="21"/>
                <w:szCs w:val="21"/>
                <w14:textFill>
                  <w14:solidFill>
                    <w14:schemeClr w14:val="tx1"/>
                  </w14:solidFill>
                </w14:textFill>
              </w:rPr>
              <w:t>且法定代表人在法定代表人身份证明上签名</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8" w:hRule="atLeast"/>
        </w:trPr>
        <w:tc>
          <w:tcPr>
            <w:tcW w:w="102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4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w:t>
            </w:r>
          </w:p>
        </w:tc>
        <w:tc>
          <w:tcPr>
            <w:tcW w:w="2415" w:type="dxa"/>
            <w:noWrap w:val="0"/>
            <w:vAlign w:val="top"/>
          </w:tcPr>
          <w:p>
            <w:pPr>
              <w:spacing w:before="205" w:line="36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投标人未以联合体形式投</w:t>
            </w:r>
            <w:r>
              <w:rPr>
                <w:rFonts w:hint="eastAsia" w:ascii="微软雅黑" w:hAnsi="微软雅黑" w:eastAsia="微软雅黑" w:cs="微软雅黑"/>
                <w:color w:val="000000" w:themeColor="text1"/>
                <w:sz w:val="21"/>
                <w:szCs w:val="21"/>
                <w14:textFill>
                  <w14:solidFill>
                    <w14:schemeClr w14:val="tx1"/>
                  </w14:solidFill>
                </w14:textFill>
              </w:rPr>
              <w:t>标</w:t>
            </w:r>
          </w:p>
        </w:tc>
        <w:tc>
          <w:tcPr>
            <w:tcW w:w="646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投标人未以联合体形式投标</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559" w:hRule="atLeast"/>
        </w:trPr>
        <w:tc>
          <w:tcPr>
            <w:tcW w:w="102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360"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w:t>
            </w:r>
          </w:p>
        </w:tc>
        <w:tc>
          <w:tcPr>
            <w:tcW w:w="2415" w:type="dxa"/>
            <w:noWrap w:val="0"/>
            <w:vAlign w:val="top"/>
          </w:tcPr>
          <w:p>
            <w:pPr>
              <w:spacing w:before="207" w:line="360" w:lineRule="auto"/>
              <w:ind w:left="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同一投标人未提交两个以</w:t>
            </w:r>
            <w:r>
              <w:rPr>
                <w:rFonts w:hint="eastAsia" w:ascii="微软雅黑" w:hAnsi="微软雅黑" w:eastAsia="微软雅黑" w:cs="微软雅黑"/>
                <w:color w:val="000000" w:themeColor="text1"/>
                <w:spacing w:val="-4"/>
                <w:sz w:val="21"/>
                <w:szCs w:val="21"/>
                <w14:textFill>
                  <w14:solidFill>
                    <w14:schemeClr w14:val="tx1"/>
                  </w14:solidFill>
                </w14:textFill>
              </w:rPr>
              <w:t>上不同的投标文件，但招</w:t>
            </w:r>
            <w:r>
              <w:rPr>
                <w:rFonts w:hint="eastAsia" w:ascii="微软雅黑" w:hAnsi="微软雅黑" w:eastAsia="微软雅黑" w:cs="微软雅黑"/>
                <w:color w:val="000000" w:themeColor="text1"/>
                <w:spacing w:val="-1"/>
                <w:sz w:val="21"/>
                <w:szCs w:val="21"/>
                <w14:textFill>
                  <w14:solidFill>
                    <w14:schemeClr w14:val="tx1"/>
                  </w14:solidFill>
                </w14:textFill>
              </w:rPr>
              <w:t>标文件要求提交备选投标</w:t>
            </w:r>
            <w:r>
              <w:rPr>
                <w:rFonts w:hint="eastAsia" w:ascii="微软雅黑" w:hAnsi="微软雅黑" w:eastAsia="微软雅黑" w:cs="微软雅黑"/>
                <w:color w:val="000000" w:themeColor="text1"/>
                <w:spacing w:val="-9"/>
                <w:sz w:val="21"/>
                <w:szCs w:val="21"/>
                <w14:textFill>
                  <w14:solidFill>
                    <w14:schemeClr w14:val="tx1"/>
                  </w14:solidFill>
                </w14:textFill>
              </w:rPr>
              <w:t>的除外</w:t>
            </w:r>
          </w:p>
        </w:tc>
        <w:tc>
          <w:tcPr>
            <w:tcW w:w="646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同一投标人未提交两个以上不同的投标文件，但招标文件要求提交备选</w:t>
            </w:r>
            <w:r>
              <w:rPr>
                <w:rFonts w:hint="eastAsia" w:ascii="微软雅黑" w:hAnsi="微软雅黑" w:eastAsia="微软雅黑" w:cs="微软雅黑"/>
                <w:color w:val="000000" w:themeColor="text1"/>
                <w:spacing w:val="-3"/>
                <w:sz w:val="21"/>
                <w:szCs w:val="21"/>
                <w14:textFill>
                  <w14:solidFill>
                    <w14:schemeClr w14:val="tx1"/>
                  </w14:solidFill>
                </w14:textFill>
              </w:rPr>
              <w:t>投标的除外</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980" w:hRule="atLeast"/>
        </w:trPr>
        <w:tc>
          <w:tcPr>
            <w:tcW w:w="102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4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w:t>
            </w:r>
          </w:p>
        </w:tc>
        <w:tc>
          <w:tcPr>
            <w:tcW w:w="2415" w:type="dxa"/>
            <w:noWrap w:val="0"/>
            <w:vAlign w:val="top"/>
          </w:tcPr>
          <w:p>
            <w:pPr>
              <w:spacing w:before="210" w:line="36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投标文件中未出现有关投标报价的内容</w:t>
            </w:r>
          </w:p>
        </w:tc>
        <w:tc>
          <w:tcPr>
            <w:tcW w:w="646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投标文件中未出现有关投标报价的内容</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111" w:hRule="atLeast"/>
        </w:trPr>
        <w:tc>
          <w:tcPr>
            <w:tcW w:w="102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4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w:t>
            </w:r>
          </w:p>
        </w:tc>
        <w:tc>
          <w:tcPr>
            <w:tcW w:w="2415" w:type="dxa"/>
            <w:noWrap w:val="0"/>
            <w:vAlign w:val="top"/>
          </w:tcPr>
          <w:p>
            <w:pPr>
              <w:spacing w:before="211" w:line="36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投标文件载明的招标项目</w:t>
            </w:r>
            <w:r>
              <w:rPr>
                <w:rFonts w:hint="eastAsia" w:ascii="微软雅黑" w:hAnsi="微软雅黑" w:eastAsia="微软雅黑" w:cs="微软雅黑"/>
                <w:color w:val="000000" w:themeColor="text1"/>
                <w:spacing w:val="-1"/>
                <w:sz w:val="21"/>
                <w:szCs w:val="21"/>
                <w14:textFill>
                  <w14:solidFill>
                    <w14:schemeClr w14:val="tx1"/>
                  </w14:solidFill>
                </w14:textFill>
              </w:rPr>
              <w:t>完成期限符合招标文件规</w:t>
            </w:r>
            <w:r>
              <w:rPr>
                <w:rFonts w:hint="eastAsia" w:ascii="微软雅黑" w:hAnsi="微软雅黑" w:eastAsia="微软雅黑" w:cs="微软雅黑"/>
                <w:color w:val="000000" w:themeColor="text1"/>
                <w:sz w:val="21"/>
                <w:szCs w:val="21"/>
                <w14:textFill>
                  <w14:solidFill>
                    <w14:schemeClr w14:val="tx1"/>
                  </w14:solidFill>
                </w14:textFill>
              </w:rPr>
              <w:t>定</w:t>
            </w:r>
          </w:p>
        </w:tc>
        <w:tc>
          <w:tcPr>
            <w:tcW w:w="646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投标文件载明的招标项目完成期限符合招标文件规定</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9" w:hRule="atLeast"/>
        </w:trPr>
        <w:tc>
          <w:tcPr>
            <w:tcW w:w="102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42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w:t>
            </w:r>
          </w:p>
        </w:tc>
        <w:tc>
          <w:tcPr>
            <w:tcW w:w="2415" w:type="dxa"/>
            <w:noWrap w:val="0"/>
            <w:vAlign w:val="top"/>
          </w:tcPr>
          <w:p>
            <w:pPr>
              <w:spacing w:before="212" w:line="36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投标文件对招标文件的实</w:t>
            </w:r>
            <w:r>
              <w:rPr>
                <w:rFonts w:hint="eastAsia" w:ascii="微软雅黑" w:hAnsi="微软雅黑" w:eastAsia="微软雅黑" w:cs="微软雅黑"/>
                <w:color w:val="000000" w:themeColor="text1"/>
                <w:spacing w:val="-1"/>
                <w:sz w:val="21"/>
                <w:szCs w:val="21"/>
                <w14:textFill>
                  <w14:solidFill>
                    <w14:schemeClr w14:val="tx1"/>
                  </w14:solidFill>
                </w14:textFill>
              </w:rPr>
              <w:t>质性要求和条件作出响应</w:t>
            </w:r>
          </w:p>
        </w:tc>
        <w:tc>
          <w:tcPr>
            <w:tcW w:w="646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投标文件对招标文件的实质性要求和条件作出响应</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517" w:hRule="atLeast"/>
        </w:trPr>
        <w:tc>
          <w:tcPr>
            <w:tcW w:w="1027"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360" w:lineRule="auto"/>
              <w:ind w:left="42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11</w:t>
            </w:r>
          </w:p>
        </w:tc>
        <w:tc>
          <w:tcPr>
            <w:tcW w:w="2415" w:type="dxa"/>
            <w:noWrap w:val="0"/>
            <w:vAlign w:val="top"/>
          </w:tcPr>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line="36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360"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权利义务符合招标文件规</w:t>
            </w:r>
            <w:r>
              <w:rPr>
                <w:rFonts w:hint="eastAsia" w:ascii="微软雅黑" w:hAnsi="微软雅黑" w:eastAsia="微软雅黑" w:cs="微软雅黑"/>
                <w:color w:val="000000" w:themeColor="text1"/>
                <w:sz w:val="21"/>
                <w:szCs w:val="21"/>
                <w14:textFill>
                  <w14:solidFill>
                    <w14:schemeClr w14:val="tx1"/>
                  </w14:solidFill>
                </w14:textFill>
              </w:rPr>
              <w:t>定</w:t>
            </w:r>
          </w:p>
        </w:tc>
        <w:tc>
          <w:tcPr>
            <w:tcW w:w="6467" w:type="dxa"/>
            <w:noWrap w:val="0"/>
            <w:vAlign w:val="top"/>
          </w:tcPr>
          <w:p>
            <w:pPr>
              <w:spacing w:before="213" w:line="36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a.投标人应接受招标文件规定的风险划分原则，未提出新的风险划分办</w:t>
            </w:r>
            <w:r>
              <w:rPr>
                <w:rFonts w:hint="eastAsia" w:ascii="微软雅黑" w:hAnsi="微软雅黑" w:eastAsia="微软雅黑" w:cs="微软雅黑"/>
                <w:color w:val="000000" w:themeColor="text1"/>
                <w:spacing w:val="1"/>
                <w:sz w:val="21"/>
                <w:szCs w:val="21"/>
                <w14:textFill>
                  <w14:solidFill>
                    <w14:schemeClr w14:val="tx1"/>
                  </w14:solidFill>
                </w14:textFill>
              </w:rPr>
              <w:t>法；b.投标人未增加委托人的责任范围，或减少投标人义务；c.投标人</w:t>
            </w:r>
            <w:r>
              <w:rPr>
                <w:rFonts w:hint="eastAsia" w:ascii="微软雅黑" w:hAnsi="微软雅黑" w:eastAsia="微软雅黑" w:cs="微软雅黑"/>
                <w:color w:val="000000" w:themeColor="text1"/>
                <w:sz w:val="21"/>
                <w:szCs w:val="21"/>
                <w14:textFill>
                  <w14:solidFill>
                    <w14:schemeClr w14:val="tx1"/>
                  </w14:solidFill>
                </w14:textFill>
              </w:rPr>
              <w:t>未提出不同的支付办法；d.投标人对合同纠纷、事故处理办法未提出异</w:t>
            </w:r>
            <w:r>
              <w:rPr>
                <w:rFonts w:hint="eastAsia" w:ascii="微软雅黑" w:hAnsi="微软雅黑" w:eastAsia="微软雅黑" w:cs="微软雅黑"/>
                <w:color w:val="000000" w:themeColor="text1"/>
                <w:spacing w:val="3"/>
                <w:sz w:val="21"/>
                <w:szCs w:val="21"/>
                <w14:textFill>
                  <w14:solidFill>
                    <w14:schemeClr w14:val="tx1"/>
                  </w14:solidFill>
                </w14:textFill>
              </w:rPr>
              <w:t>议；</w:t>
            </w:r>
            <w:r>
              <w:rPr>
                <w:rFonts w:hint="eastAsia" w:ascii="微软雅黑" w:hAnsi="微软雅黑" w:eastAsia="微软雅黑" w:cs="微软雅黑"/>
                <w:color w:val="000000" w:themeColor="text1"/>
                <w:spacing w:val="-42"/>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3"/>
                <w:sz w:val="21"/>
                <w:szCs w:val="21"/>
                <w14:textFill>
                  <w14:solidFill>
                    <w14:schemeClr w14:val="tx1"/>
                  </w14:solidFill>
                </w14:textFill>
              </w:rPr>
              <w:t>e.投标人在投标活动中无欺诈行为；f.投标人未对合同条</w:t>
            </w:r>
            <w:r>
              <w:rPr>
                <w:rFonts w:hint="eastAsia" w:ascii="微软雅黑" w:hAnsi="微软雅黑" w:eastAsia="微软雅黑" w:cs="微软雅黑"/>
                <w:color w:val="000000" w:themeColor="text1"/>
                <w:spacing w:val="2"/>
                <w:sz w:val="21"/>
                <w:szCs w:val="21"/>
                <w14:textFill>
                  <w14:solidFill>
                    <w14:schemeClr w14:val="tx1"/>
                  </w14:solidFill>
                </w14:textFill>
              </w:rPr>
              <w:t>款有重要</w:t>
            </w:r>
            <w:r>
              <w:rPr>
                <w:rFonts w:hint="eastAsia" w:ascii="微软雅黑" w:hAnsi="微软雅黑" w:eastAsia="微软雅黑" w:cs="微软雅黑"/>
                <w:color w:val="000000" w:themeColor="text1"/>
                <w:spacing w:val="-5"/>
                <w:sz w:val="21"/>
                <w:szCs w:val="21"/>
                <w14:textFill>
                  <w14:solidFill>
                    <w14:schemeClr w14:val="tx1"/>
                  </w14:solidFill>
                </w14:textFill>
              </w:rPr>
              <w:t>保留</w:t>
            </w:r>
          </w:p>
        </w:tc>
      </w:tr>
    </w:tbl>
    <w:p>
      <w:pPr>
        <w:spacing w:before="289" w:line="185" w:lineRule="auto"/>
        <w:ind w:left="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6"/>
          <w:sz w:val="21"/>
          <w:szCs w:val="21"/>
          <w14:textFill>
            <w14:solidFill>
              <w14:schemeClr w14:val="tx1"/>
            </w14:solidFill>
          </w14:textFill>
        </w:rPr>
        <w:t>资格评审</w:t>
      </w:r>
    </w:p>
    <w:p>
      <w:pPr>
        <w:spacing w:line="157" w:lineRule="exact"/>
        <w:rPr>
          <w:rFonts w:hint="eastAsia" w:ascii="微软雅黑" w:hAnsi="微软雅黑" w:eastAsia="微软雅黑" w:cs="微软雅黑"/>
          <w:color w:val="000000" w:themeColor="text1"/>
          <w14:textFill>
            <w14:solidFill>
              <w14:schemeClr w14:val="tx1"/>
            </w14:solidFill>
          </w14:textFill>
        </w:rPr>
      </w:pPr>
    </w:p>
    <w:tbl>
      <w:tblPr>
        <w:tblStyle w:val="6"/>
        <w:tblW w:w="10184"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27"/>
        <w:gridCol w:w="2542"/>
        <w:gridCol w:w="6615"/>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2" w:hRule="atLeast"/>
        </w:trPr>
        <w:tc>
          <w:tcPr>
            <w:tcW w:w="1027" w:type="dxa"/>
            <w:noWrap w:val="0"/>
            <w:vAlign w:val="top"/>
          </w:tcPr>
          <w:p>
            <w:pPr>
              <w:spacing w:before="209" w:line="185" w:lineRule="auto"/>
              <w:ind w:left="53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序号</w:t>
            </w:r>
          </w:p>
        </w:tc>
        <w:tc>
          <w:tcPr>
            <w:tcW w:w="2542" w:type="dxa"/>
            <w:noWrap w:val="0"/>
            <w:vAlign w:val="top"/>
          </w:tcPr>
          <w:p>
            <w:pPr>
              <w:spacing w:before="224" w:line="186" w:lineRule="auto"/>
              <w:ind w:left="84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评审因素</w:t>
            </w:r>
          </w:p>
        </w:tc>
        <w:tc>
          <w:tcPr>
            <w:tcW w:w="6615" w:type="dxa"/>
            <w:noWrap w:val="0"/>
            <w:vAlign w:val="top"/>
          </w:tcPr>
          <w:p>
            <w:pPr>
              <w:spacing w:before="224" w:line="186" w:lineRule="auto"/>
              <w:ind w:left="2888"/>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评审标准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PrEx>
        <w:trPr>
          <w:trHeight w:val="3222" w:hRule="atLeast"/>
        </w:trPr>
        <w:tc>
          <w:tcPr>
            <w:tcW w:w="1027" w:type="dxa"/>
            <w:noWrap w:val="0"/>
            <w:vAlign w:val="top"/>
          </w:tcPr>
          <w:p>
            <w:pPr>
              <w:spacing w:line="278" w:lineRule="auto"/>
              <w:rPr>
                <w:rFonts w:hint="eastAsia" w:ascii="微软雅黑" w:hAnsi="微软雅黑" w:eastAsia="微软雅黑" w:cs="微软雅黑"/>
                <w:color w:val="000000" w:themeColor="text1"/>
                <w:sz w:val="21"/>
                <w14:textFill>
                  <w14:solidFill>
                    <w14:schemeClr w14:val="tx1"/>
                  </w14:solidFill>
                </w14:textFill>
              </w:rPr>
            </w:pPr>
          </w:p>
          <w:p>
            <w:pPr>
              <w:spacing w:line="278" w:lineRule="auto"/>
              <w:rPr>
                <w:rFonts w:hint="eastAsia" w:ascii="微软雅黑" w:hAnsi="微软雅黑" w:eastAsia="微软雅黑" w:cs="微软雅黑"/>
                <w:color w:val="000000" w:themeColor="text1"/>
                <w:sz w:val="21"/>
                <w14:textFill>
                  <w14:solidFill>
                    <w14:schemeClr w14:val="tx1"/>
                  </w14:solidFill>
                </w14:textFill>
              </w:rPr>
            </w:pPr>
          </w:p>
          <w:p>
            <w:pPr>
              <w:spacing w:line="279" w:lineRule="auto"/>
              <w:rPr>
                <w:rFonts w:hint="eastAsia" w:ascii="微软雅黑" w:hAnsi="微软雅黑" w:eastAsia="微软雅黑" w:cs="微软雅黑"/>
                <w:color w:val="000000" w:themeColor="text1"/>
                <w:sz w:val="21"/>
                <w14:textFill>
                  <w14:solidFill>
                    <w14:schemeClr w14:val="tx1"/>
                  </w14:solidFill>
                </w14:textFill>
              </w:rPr>
            </w:pPr>
          </w:p>
          <w:p>
            <w:pPr>
              <w:spacing w:line="279" w:lineRule="auto"/>
              <w:rPr>
                <w:rFonts w:hint="eastAsia" w:ascii="微软雅黑" w:hAnsi="微软雅黑" w:eastAsia="微软雅黑" w:cs="微软雅黑"/>
                <w:color w:val="000000" w:themeColor="text1"/>
                <w:sz w:val="21"/>
                <w14:textFill>
                  <w14:solidFill>
                    <w14:schemeClr w14:val="tx1"/>
                  </w14:solidFill>
                </w14:textFill>
              </w:rPr>
            </w:pPr>
          </w:p>
          <w:p>
            <w:pPr>
              <w:spacing w:line="279"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04" w:lineRule="auto"/>
              <w:ind w:left="4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2542" w:type="dxa"/>
            <w:noWrap w:val="0"/>
            <w:vAlign w:val="top"/>
          </w:tcPr>
          <w:p>
            <w:pPr>
              <w:spacing w:before="201"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投标人具备有效的营业执</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照、组织机构代码证、监</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理资质证书和基本账户开</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0"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户许可证（或基本存款账</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0"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户证明）</w:t>
            </w:r>
          </w:p>
        </w:tc>
        <w:tc>
          <w:tcPr>
            <w:tcW w:w="6615" w:type="dxa"/>
            <w:noWrap w:val="0"/>
            <w:vAlign w:val="top"/>
          </w:tcPr>
          <w:p>
            <w:pPr>
              <w:spacing w:line="266" w:lineRule="auto"/>
              <w:rPr>
                <w:rFonts w:hint="eastAsia" w:ascii="微软雅黑" w:hAnsi="微软雅黑" w:eastAsia="微软雅黑" w:cs="微软雅黑"/>
                <w:color w:val="000000" w:themeColor="text1"/>
                <w:sz w:val="21"/>
                <w14:textFill>
                  <w14:solidFill>
                    <w14:schemeClr w14:val="tx1"/>
                  </w14:solidFill>
                </w14:textFill>
              </w:rPr>
            </w:pPr>
          </w:p>
          <w:p>
            <w:pPr>
              <w:spacing w:line="266" w:lineRule="auto"/>
              <w:rPr>
                <w:rFonts w:hint="eastAsia" w:ascii="微软雅黑" w:hAnsi="微软雅黑" w:eastAsia="微软雅黑" w:cs="微软雅黑"/>
                <w:color w:val="000000" w:themeColor="text1"/>
                <w:sz w:val="21"/>
                <w14:textFill>
                  <w14:solidFill>
                    <w14:schemeClr w14:val="tx1"/>
                  </w14:solidFill>
                </w14:textFill>
              </w:rPr>
            </w:pPr>
          </w:p>
          <w:p>
            <w:pPr>
              <w:spacing w:line="266"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投标人具备有效的营业执照、组织机构代码证、监理资质证书和基本账</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户开户许可证（或基本存款账户证明）</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8" w:hRule="atLeast"/>
        </w:trPr>
        <w:tc>
          <w:tcPr>
            <w:tcW w:w="1027" w:type="dxa"/>
            <w:noWrap w:val="0"/>
            <w:vAlign w:val="top"/>
          </w:tcPr>
          <w:p>
            <w:pPr>
              <w:spacing w:line="427"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04" w:lineRule="auto"/>
              <w:ind w:left="4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2542" w:type="dxa"/>
            <w:noWrap w:val="0"/>
            <w:vAlign w:val="top"/>
          </w:tcPr>
          <w:p>
            <w:pPr>
              <w:spacing w:before="205"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投标人的资质等级符合招</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标文件规定</w:t>
            </w:r>
          </w:p>
        </w:tc>
        <w:tc>
          <w:tcPr>
            <w:tcW w:w="6615" w:type="dxa"/>
            <w:noWrap w:val="0"/>
            <w:vAlign w:val="top"/>
          </w:tcPr>
          <w:p>
            <w:pPr>
              <w:spacing w:line="42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投标人的资质等级符合招标文件规定</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9" w:hRule="atLeast"/>
        </w:trPr>
        <w:tc>
          <w:tcPr>
            <w:tcW w:w="1027" w:type="dxa"/>
            <w:noWrap w:val="0"/>
            <w:vAlign w:val="top"/>
          </w:tcPr>
          <w:p>
            <w:pPr>
              <w:spacing w:line="43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2542" w:type="dxa"/>
            <w:noWrap w:val="0"/>
            <w:vAlign w:val="top"/>
          </w:tcPr>
          <w:p>
            <w:pPr>
              <w:spacing w:before="207" w:line="184"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投标人的类似项目业绩符</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合招标文件规定</w:t>
            </w:r>
          </w:p>
        </w:tc>
        <w:tc>
          <w:tcPr>
            <w:tcW w:w="6615" w:type="dxa"/>
            <w:noWrap w:val="0"/>
            <w:vAlign w:val="top"/>
          </w:tcPr>
          <w:p>
            <w:pPr>
              <w:spacing w:line="429"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投标人的类似项目业绩符合招标文件规定</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9" w:hRule="atLeast"/>
        </w:trPr>
        <w:tc>
          <w:tcPr>
            <w:tcW w:w="1027" w:type="dxa"/>
            <w:noWrap w:val="0"/>
            <w:vAlign w:val="top"/>
          </w:tcPr>
          <w:p>
            <w:pPr>
              <w:spacing w:line="430"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04" w:lineRule="auto"/>
              <w:ind w:left="4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2542" w:type="dxa"/>
            <w:noWrap w:val="0"/>
            <w:vAlign w:val="top"/>
          </w:tcPr>
          <w:p>
            <w:pPr>
              <w:spacing w:before="208"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投标人的信誉符合招标文</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件规定</w:t>
            </w:r>
          </w:p>
        </w:tc>
        <w:tc>
          <w:tcPr>
            <w:tcW w:w="6615" w:type="dxa"/>
            <w:noWrap w:val="0"/>
            <w:vAlign w:val="top"/>
          </w:tcPr>
          <w:p>
            <w:pPr>
              <w:spacing w:line="43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投标人的信誉符合招标文件规定</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33" w:hRule="atLeast"/>
        </w:trPr>
        <w:tc>
          <w:tcPr>
            <w:tcW w:w="1027" w:type="dxa"/>
            <w:noWrap w:val="0"/>
            <w:vAlign w:val="top"/>
          </w:tcPr>
          <w:p>
            <w:pPr>
              <w:spacing w:line="253" w:lineRule="auto"/>
              <w:rPr>
                <w:rFonts w:hint="eastAsia" w:ascii="微软雅黑" w:hAnsi="微软雅黑" w:eastAsia="微软雅黑" w:cs="微软雅黑"/>
                <w:color w:val="000000" w:themeColor="text1"/>
                <w:sz w:val="21"/>
                <w14:textFill>
                  <w14:solidFill>
                    <w14:schemeClr w14:val="tx1"/>
                  </w14:solidFill>
                </w14:textFill>
              </w:rPr>
            </w:pPr>
          </w:p>
          <w:p>
            <w:pPr>
              <w:spacing w:line="253"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2542" w:type="dxa"/>
            <w:noWrap w:val="0"/>
            <w:vAlign w:val="top"/>
          </w:tcPr>
          <w:p>
            <w:pPr>
              <w:spacing w:before="209"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投标人的总监理工程师资</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格、在岗情况符合招标文</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件规定</w:t>
            </w:r>
          </w:p>
        </w:tc>
        <w:tc>
          <w:tcPr>
            <w:tcW w:w="6615" w:type="dxa"/>
            <w:noWrap w:val="0"/>
            <w:vAlign w:val="top"/>
          </w:tcPr>
          <w:p>
            <w:pPr>
              <w:spacing w:line="253" w:lineRule="auto"/>
              <w:rPr>
                <w:rFonts w:hint="eastAsia" w:ascii="微软雅黑" w:hAnsi="微软雅黑" w:eastAsia="微软雅黑" w:cs="微软雅黑"/>
                <w:color w:val="000000" w:themeColor="text1"/>
                <w:sz w:val="21"/>
                <w14:textFill>
                  <w14:solidFill>
                    <w14:schemeClr w14:val="tx1"/>
                  </w14:solidFill>
                </w14:textFill>
              </w:rPr>
            </w:pPr>
          </w:p>
          <w:p>
            <w:pPr>
              <w:spacing w:line="253" w:lineRule="auto"/>
              <w:rPr>
                <w:rFonts w:hint="eastAsia" w:ascii="微软雅黑" w:hAnsi="微软雅黑" w:eastAsia="微软雅黑" w:cs="微软雅黑"/>
                <w:color w:val="000000" w:themeColor="text1"/>
                <w:sz w:val="21"/>
                <w14:textFill>
                  <w14:solidFill>
                    <w14:schemeClr w14:val="tx1"/>
                  </w14:solidFill>
                </w14:textFill>
              </w:rPr>
            </w:pPr>
          </w:p>
          <w:p>
            <w:pPr>
              <w:spacing w:line="253"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投标人的总监理工程师资格、在岗情况符合招标文件规定</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9" w:hRule="atLeast"/>
        </w:trPr>
        <w:tc>
          <w:tcPr>
            <w:tcW w:w="1027" w:type="dxa"/>
            <w:noWrap w:val="0"/>
            <w:vAlign w:val="top"/>
          </w:tcPr>
          <w:p>
            <w:pPr>
              <w:spacing w:line="43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w:t>
            </w:r>
          </w:p>
        </w:tc>
        <w:tc>
          <w:tcPr>
            <w:tcW w:w="2542" w:type="dxa"/>
            <w:noWrap w:val="0"/>
            <w:vAlign w:val="top"/>
          </w:tcPr>
          <w:p>
            <w:pPr>
              <w:spacing w:before="211"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投标人的其他要求符合招</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标文件规定</w:t>
            </w:r>
          </w:p>
        </w:tc>
        <w:tc>
          <w:tcPr>
            <w:tcW w:w="6615" w:type="dxa"/>
            <w:noWrap w:val="0"/>
            <w:vAlign w:val="top"/>
          </w:tcPr>
          <w:p>
            <w:pPr>
              <w:spacing w:line="433"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投标人的其他要求符合招标文件规定</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577" w:hRule="atLeast"/>
        </w:trPr>
        <w:tc>
          <w:tcPr>
            <w:tcW w:w="1027" w:type="dxa"/>
            <w:noWrap w:val="0"/>
            <w:vAlign w:val="top"/>
          </w:tcPr>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line="269" w:lineRule="auto"/>
              <w:rPr>
                <w:rFonts w:hint="eastAsia" w:ascii="微软雅黑" w:hAnsi="微软雅黑" w:eastAsia="微软雅黑" w:cs="微软雅黑"/>
                <w:color w:val="000000" w:themeColor="text1"/>
                <w:sz w:val="21"/>
                <w14:textFill>
                  <w14:solidFill>
                    <w14:schemeClr w14:val="tx1"/>
                  </w14:solidFill>
                </w14:textFill>
              </w:rPr>
            </w:pPr>
          </w:p>
          <w:p>
            <w:pPr>
              <w:spacing w:line="269" w:lineRule="auto"/>
              <w:rPr>
                <w:rFonts w:hint="eastAsia" w:ascii="微软雅黑" w:hAnsi="微软雅黑" w:eastAsia="微软雅黑" w:cs="微软雅黑"/>
                <w:color w:val="000000" w:themeColor="text1"/>
                <w:sz w:val="21"/>
                <w14:textFill>
                  <w14:solidFill>
                    <w14:schemeClr w14:val="tx1"/>
                  </w14:solidFill>
                </w14:textFill>
              </w:rPr>
            </w:pPr>
          </w:p>
          <w:p>
            <w:pPr>
              <w:spacing w:line="269"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04"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w:t>
            </w:r>
          </w:p>
        </w:tc>
        <w:tc>
          <w:tcPr>
            <w:tcW w:w="2542" w:type="dxa"/>
            <w:noWrap w:val="0"/>
            <w:vAlign w:val="top"/>
          </w:tcPr>
          <w:p>
            <w:pPr>
              <w:spacing w:before="212"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投标人不存在第二章“投</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标人须知</w:t>
            </w:r>
            <w:r>
              <w:rPr>
                <w:rFonts w:hint="eastAsia" w:ascii="微软雅黑" w:hAnsi="微软雅黑" w:eastAsia="微软雅黑" w:cs="微软雅黑"/>
                <w:color w:val="000000" w:themeColor="text1"/>
                <w:spacing w:val="-33"/>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14:textFill>
                  <w14:solidFill>
                    <w14:schemeClr w14:val="tx1"/>
                  </w14:solidFill>
                </w14:textFill>
              </w:rPr>
              <w:t>”第1.4.3项或第</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4" w:lineRule="auto"/>
              <w:ind w:left="7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1.4.4项规定的任何一种情</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6"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形</w:t>
            </w:r>
          </w:p>
        </w:tc>
        <w:tc>
          <w:tcPr>
            <w:tcW w:w="6615" w:type="dxa"/>
            <w:noWrap w:val="0"/>
            <w:vAlign w:val="top"/>
          </w:tcPr>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投标人不存在第二章“投标人须知</w:t>
            </w:r>
            <w:r>
              <w:rPr>
                <w:rFonts w:hint="eastAsia" w:ascii="微软雅黑" w:hAnsi="微软雅黑" w:eastAsia="微软雅黑" w:cs="微软雅黑"/>
                <w:color w:val="000000" w:themeColor="text1"/>
                <w:spacing w:val="-34"/>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14:textFill>
                  <w14:solidFill>
                    <w14:schemeClr w14:val="tx1"/>
                  </w14:solidFill>
                </w14:textFill>
              </w:rPr>
              <w:t>”第1.4.3项或第1.4.4项规</w:t>
            </w:r>
            <w:r>
              <w:rPr>
                <w:rFonts w:hint="eastAsia" w:ascii="微软雅黑" w:hAnsi="微软雅黑" w:eastAsia="微软雅黑" w:cs="微软雅黑"/>
                <w:color w:val="000000" w:themeColor="text1"/>
                <w:spacing w:val="1"/>
                <w:sz w:val="21"/>
                <w:szCs w:val="21"/>
                <w14:textFill>
                  <w14:solidFill>
                    <w14:schemeClr w14:val="tx1"/>
                  </w14:solidFill>
                </w14:textFill>
              </w:rPr>
              <w:t>定的任何</w:t>
            </w:r>
            <w:r>
              <w:rPr>
                <w:rFonts w:hint="eastAsia" w:ascii="微软雅黑" w:hAnsi="微软雅黑" w:eastAsia="微软雅黑" w:cs="微软雅黑"/>
                <w:color w:val="000000" w:themeColor="text1"/>
                <w:spacing w:val="-4"/>
                <w:sz w:val="21"/>
                <w:szCs w:val="21"/>
                <w14:textFill>
                  <w14:solidFill>
                    <w14:schemeClr w14:val="tx1"/>
                  </w14:solidFill>
                </w14:textFill>
              </w:rPr>
              <w:t>一种情形</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96" w:hRule="atLeast"/>
        </w:trPr>
        <w:tc>
          <w:tcPr>
            <w:tcW w:w="1027" w:type="dxa"/>
            <w:noWrap w:val="0"/>
            <w:vAlign w:val="top"/>
          </w:tcPr>
          <w:p>
            <w:pPr>
              <w:spacing w:line="438"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w:t>
            </w:r>
          </w:p>
        </w:tc>
        <w:tc>
          <w:tcPr>
            <w:tcW w:w="2542" w:type="dxa"/>
            <w:noWrap w:val="0"/>
            <w:vAlign w:val="top"/>
          </w:tcPr>
          <w:p>
            <w:pPr>
              <w:spacing w:before="215"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投标人符合第二章“投标</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人须知</w:t>
            </w:r>
            <w:r>
              <w:rPr>
                <w:rFonts w:hint="eastAsia" w:ascii="微软雅黑" w:hAnsi="微软雅黑" w:eastAsia="微软雅黑" w:cs="微软雅黑"/>
                <w:color w:val="000000" w:themeColor="text1"/>
                <w:spacing w:val="-33"/>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14:textFill>
                  <w14:solidFill>
                    <w14:schemeClr w14:val="tx1"/>
                  </w14:solidFill>
                </w14:textFill>
              </w:rPr>
              <w:t>”第1.4.5项规定</w:t>
            </w:r>
          </w:p>
        </w:tc>
        <w:tc>
          <w:tcPr>
            <w:tcW w:w="6615" w:type="dxa"/>
            <w:noWrap w:val="0"/>
            <w:vAlign w:val="top"/>
          </w:tcPr>
          <w:p>
            <w:pPr>
              <w:spacing w:line="43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投标人符合第二章“投标人须知</w:t>
            </w:r>
            <w:r>
              <w:rPr>
                <w:rFonts w:hint="eastAsia" w:ascii="微软雅黑" w:hAnsi="微软雅黑" w:eastAsia="微软雅黑" w:cs="微软雅黑"/>
                <w:color w:val="000000" w:themeColor="text1"/>
                <w:spacing w:val="-21"/>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”第1.4.5项规定</w:t>
            </w:r>
          </w:p>
        </w:tc>
      </w:tr>
    </w:tbl>
    <w:p>
      <w:pPr>
        <w:rPr>
          <w:rFonts w:hint="eastAsia" w:ascii="微软雅黑" w:hAnsi="微软雅黑" w:eastAsia="微软雅黑" w:cs="微软雅黑"/>
          <w:color w:val="000000" w:themeColor="text1"/>
          <w:sz w:val="21"/>
          <w14:textFill>
            <w14:solidFill>
              <w14:schemeClr w14:val="tx1"/>
            </w14:solidFill>
          </w14:textFill>
        </w:rPr>
      </w:pPr>
    </w:p>
    <w:p>
      <w:pPr>
        <w:rPr>
          <w:rFonts w:hint="eastAsia" w:ascii="微软雅黑" w:hAnsi="微软雅黑" w:eastAsia="微软雅黑" w:cs="微软雅黑"/>
          <w:color w:val="000000" w:themeColor="text1"/>
          <w:sz w:val="21"/>
          <w:szCs w:val="21"/>
          <w14:textFill>
            <w14:solidFill>
              <w14:schemeClr w14:val="tx1"/>
            </w14:solidFill>
          </w14:textFill>
        </w:rPr>
        <w:sectPr>
          <w:headerReference r:id="rId3" w:type="default"/>
          <w:pgSz w:w="11905" w:h="16838"/>
          <w:pgMar w:top="1134" w:right="1134" w:bottom="1134" w:left="1134" w:header="0" w:footer="0" w:gutter="0"/>
          <w:pgBorders>
            <w:top w:val="none" w:sz="0" w:space="0"/>
            <w:left w:val="none" w:sz="0" w:space="0"/>
            <w:bottom w:val="none" w:sz="0" w:space="0"/>
            <w:right w:val="none" w:sz="0" w:space="0"/>
          </w:pgBorders>
          <w:cols w:space="720" w:num="1"/>
          <w:rtlGutter w:val="0"/>
          <w:docGrid w:linePitch="0" w:charSpace="0"/>
        </w:sectPr>
      </w:pPr>
    </w:p>
    <w:p>
      <w:pPr>
        <w:spacing w:before="213" w:line="185" w:lineRule="auto"/>
        <w:ind w:left="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0"/>
          <w:sz w:val="21"/>
          <w:szCs w:val="21"/>
          <w14:textFill>
            <w14:solidFill>
              <w14:schemeClr w14:val="tx1"/>
            </w14:solidFill>
          </w14:textFill>
        </w:rPr>
        <w:t>技术建议书</w:t>
      </w:r>
    </w:p>
    <w:p>
      <w:pPr>
        <w:spacing w:line="158" w:lineRule="exact"/>
        <w:rPr>
          <w:rFonts w:hint="eastAsia" w:ascii="微软雅黑" w:hAnsi="微软雅黑" w:eastAsia="微软雅黑" w:cs="微软雅黑"/>
          <w:color w:val="000000" w:themeColor="text1"/>
          <w14:textFill>
            <w14:solidFill>
              <w14:schemeClr w14:val="tx1"/>
            </w14:solidFill>
          </w14:textFill>
        </w:rPr>
      </w:pPr>
    </w:p>
    <w:tbl>
      <w:tblPr>
        <w:tblStyle w:val="6"/>
        <w:tblW w:w="10185"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30"/>
        <w:gridCol w:w="2548"/>
        <w:gridCol w:w="3165"/>
        <w:gridCol w:w="1210"/>
        <w:gridCol w:w="1210"/>
        <w:gridCol w:w="1022"/>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2" w:hRule="atLeast"/>
        </w:trPr>
        <w:tc>
          <w:tcPr>
            <w:tcW w:w="1030" w:type="dxa"/>
            <w:noWrap w:val="0"/>
            <w:vAlign w:val="top"/>
          </w:tcPr>
          <w:p>
            <w:pPr>
              <w:spacing w:before="209" w:line="185" w:lineRule="auto"/>
              <w:ind w:left="53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序号</w:t>
            </w:r>
          </w:p>
        </w:tc>
        <w:tc>
          <w:tcPr>
            <w:tcW w:w="2548" w:type="dxa"/>
            <w:noWrap w:val="0"/>
            <w:vAlign w:val="top"/>
          </w:tcPr>
          <w:p>
            <w:pPr>
              <w:spacing w:before="224" w:line="186" w:lineRule="auto"/>
              <w:ind w:left="84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评审因素</w:t>
            </w:r>
          </w:p>
        </w:tc>
        <w:tc>
          <w:tcPr>
            <w:tcW w:w="3165" w:type="dxa"/>
            <w:noWrap w:val="0"/>
            <w:vAlign w:val="top"/>
          </w:tcPr>
          <w:p>
            <w:pPr>
              <w:spacing w:before="224" w:line="186" w:lineRule="auto"/>
              <w:ind w:left="115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评审标准</w:t>
            </w:r>
          </w:p>
        </w:tc>
        <w:tc>
          <w:tcPr>
            <w:tcW w:w="1210" w:type="dxa"/>
            <w:noWrap w:val="0"/>
            <w:vAlign w:val="top"/>
          </w:tcPr>
          <w:p>
            <w:pPr>
              <w:spacing w:before="224" w:line="180" w:lineRule="auto"/>
              <w:ind w:left="7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分值（分）</w:t>
            </w:r>
          </w:p>
        </w:tc>
        <w:tc>
          <w:tcPr>
            <w:tcW w:w="1210" w:type="dxa"/>
            <w:noWrap w:val="0"/>
            <w:vAlign w:val="top"/>
          </w:tcPr>
          <w:p>
            <w:pPr>
              <w:spacing w:before="179" w:line="229" w:lineRule="auto"/>
              <w:ind w:left="9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权重（</w:t>
            </w:r>
            <w:r>
              <w:rPr>
                <w:rFonts w:hint="eastAsia" w:ascii="微软雅黑" w:hAnsi="微软雅黑" w:eastAsia="微软雅黑" w:cs="微软雅黑"/>
                <w:color w:val="000000" w:themeColor="text1"/>
                <w:spacing w:val="-7"/>
                <w:sz w:val="25"/>
                <w:szCs w:val="25"/>
                <w14:textFill>
                  <w14:solidFill>
                    <w14:schemeClr w14:val="tx1"/>
                  </w14:solidFill>
                </w14:textFill>
              </w:rPr>
              <w:t>%</w:t>
            </w:r>
            <w:r>
              <w:rPr>
                <w:rFonts w:hint="eastAsia" w:ascii="微软雅黑" w:hAnsi="微软雅黑" w:eastAsia="微软雅黑" w:cs="微软雅黑"/>
                <w:color w:val="000000" w:themeColor="text1"/>
                <w:spacing w:val="-7"/>
                <w:sz w:val="21"/>
                <w:szCs w:val="21"/>
                <w14:textFill>
                  <w14:solidFill>
                    <w14:schemeClr w14:val="tx1"/>
                  </w14:solidFill>
                </w14:textFill>
              </w:rPr>
              <w:t>）</w:t>
            </w:r>
          </w:p>
        </w:tc>
        <w:tc>
          <w:tcPr>
            <w:tcW w:w="1022" w:type="dxa"/>
            <w:noWrap w:val="0"/>
            <w:vAlign w:val="top"/>
          </w:tcPr>
          <w:p>
            <w:pPr>
              <w:spacing w:before="224" w:line="185" w:lineRule="auto"/>
              <w:ind w:left="19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w w:val="99"/>
                <w:sz w:val="21"/>
                <w:szCs w:val="21"/>
                <w14:textFill>
                  <w14:solidFill>
                    <w14:schemeClr w14:val="tx1"/>
                  </w14:solidFill>
                </w14:textFill>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3868" w:hRule="atLeast"/>
        </w:trPr>
        <w:tc>
          <w:tcPr>
            <w:tcW w:w="1030" w:type="dxa"/>
            <w:noWrap w:val="0"/>
            <w:vAlign w:val="top"/>
          </w:tcPr>
          <w:p>
            <w:pPr>
              <w:spacing w:line="243"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4" w:lineRule="auto"/>
              <w:ind w:left="4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2548" w:type="dxa"/>
            <w:noWrap w:val="0"/>
            <w:vAlign w:val="top"/>
          </w:tcPr>
          <w:p>
            <w:pPr>
              <w:spacing w:line="243"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0" w:lineRule="auto"/>
              <w:ind w:left="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监理大纲（或监理方案）</w:t>
            </w:r>
          </w:p>
        </w:tc>
        <w:tc>
          <w:tcPr>
            <w:tcW w:w="3165" w:type="dxa"/>
            <w:noWrap w:val="0"/>
            <w:vAlign w:val="top"/>
          </w:tcPr>
          <w:p>
            <w:pPr>
              <w:spacing w:before="202" w:line="180"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根据投标人的监理大纲（监理方</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0" w:lineRule="auto"/>
              <w:ind w:left="6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案）是否可行，能否充分满足本</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项目工程质量、进度、费用控制</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4"/>
                <w:sz w:val="21"/>
                <w:szCs w:val="21"/>
                <w14:textFill>
                  <w14:solidFill>
                    <w14:schemeClr w14:val="tx1"/>
                  </w14:solidFill>
                </w14:textFill>
              </w:rPr>
              <w:t>的要求进行评定</w:t>
            </w:r>
            <w:r>
              <w:rPr>
                <w:rFonts w:hint="eastAsia" w:ascii="微软雅黑" w:hAnsi="微软雅黑" w:eastAsia="微软雅黑" w:cs="微软雅黑"/>
                <w:color w:val="000000" w:themeColor="text1"/>
                <w:spacing w:val="-29"/>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4"/>
                <w:sz w:val="21"/>
                <w:szCs w:val="21"/>
                <w14:textFill>
                  <w14:solidFill>
                    <w14:schemeClr w14:val="tx1"/>
                  </w14:solidFill>
                </w14:textFill>
              </w:rPr>
              <w:t>，合理可行的得4</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11" w:lineRule="exact"/>
              <w:ind w:left="16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44450</wp:posOffset>
                      </wp:positionV>
                      <wp:extent cx="86995"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995" cy="146050"/>
                              </a:xfrm>
                              <a:prstGeom prst="rect">
                                <a:avLst/>
                              </a:prstGeom>
                              <a:noFill/>
                              <a:ln>
                                <a:noFill/>
                              </a:ln>
                              <a:effectLst/>
                            </wps:spPr>
                            <wps:txbx>
                              <w:txbxContent>
                                <w:p>
                                  <w:pPr>
                                    <w:spacing w:before="20" w:line="189" w:lineRule="exact"/>
                                    <w:jc w:val="right"/>
                                    <w:rPr>
                                      <w:rFonts w:ascii="微软雅黑" w:hAnsi="微软雅黑" w:eastAsia="微软雅黑" w:cs="微软雅黑"/>
                                      <w:sz w:val="21"/>
                                      <w:szCs w:val="21"/>
                                    </w:rPr>
                                  </w:pPr>
                                  <w:r>
                                    <w:rPr>
                                      <w:rFonts w:ascii="微软雅黑" w:hAnsi="微软雅黑" w:eastAsia="微软雅黑" w:cs="微软雅黑"/>
                                      <w:spacing w:val="-39"/>
                                      <w:w w:val="87"/>
                                      <w:position w:val="-1"/>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2pt;margin-top:3.5pt;height:11.5pt;width:6.85pt;z-index:251659264;mso-width-relative:page;mso-height-relative:page;" filled="f" stroked="f" coordsize="21600,21600" o:gfxdata="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TdGKc1QAAAAUBAAAPAAAAAAAAAAEAIAAAACIAAABkcnMvZG93bnJldi54bWxQSwEC&#10;FAAUAAAACACHTuJA+9ORYL4BAAB+AwAADgAAAAAAAAABACAAAAAkAQAAZHJzL2Uyb0RvYy54bWxQ&#10;SwUGAAAAAAYABgBZAQAAVAUAAAAA&#10;">
                      <v:fill on="f" focussize="0,0"/>
                      <v:stroke on="f"/>
                      <v:imagedata o:title=""/>
                      <o:lock v:ext="edit" aspectratio="f"/>
                      <v:textbox inset="0mm,0mm,0mm,0mm">
                        <w:txbxContent>
                          <w:p>
                            <w:pPr>
                              <w:spacing w:before="20" w:line="189" w:lineRule="exact"/>
                              <w:jc w:val="right"/>
                              <w:rPr>
                                <w:rFonts w:ascii="微软雅黑" w:hAnsi="微软雅黑" w:eastAsia="微软雅黑" w:cs="微软雅黑"/>
                                <w:sz w:val="21"/>
                                <w:szCs w:val="21"/>
                              </w:rPr>
                            </w:pPr>
                            <w:r>
                              <w:rPr>
                                <w:rFonts w:ascii="微软雅黑" w:hAnsi="微软雅黑" w:eastAsia="微软雅黑" w:cs="微软雅黑"/>
                                <w:spacing w:val="-39"/>
                                <w:w w:val="87"/>
                                <w:position w:val="-1"/>
                                <w:sz w:val="21"/>
                                <w:szCs w:val="21"/>
                              </w:rPr>
                              <w:t>~</w:t>
                            </w:r>
                          </w:p>
                        </w:txbxContent>
                      </v:textbox>
                    </v:shape>
                  </w:pict>
                </mc:Fallback>
              </mc:AlternateContent>
            </w:r>
            <w:r>
              <w:rPr>
                <w:rFonts w:hint="eastAsia" w:ascii="微软雅黑" w:hAnsi="微软雅黑" w:eastAsia="微软雅黑" w:cs="微软雅黑"/>
                <w:color w:val="000000" w:themeColor="text1"/>
                <w:spacing w:val="-10"/>
                <w:position w:val="-1"/>
                <w:sz w:val="21"/>
                <w:szCs w:val="21"/>
                <w14:textFill>
                  <w14:solidFill>
                    <w14:schemeClr w14:val="tx1"/>
                  </w14:solidFill>
                </w14:textFill>
              </w:rPr>
              <w:t>5分</w:t>
            </w:r>
            <w:r>
              <w:rPr>
                <w:rFonts w:hint="eastAsia" w:ascii="微软雅黑" w:hAnsi="微软雅黑" w:eastAsia="微软雅黑" w:cs="微软雅黑"/>
                <w:color w:val="000000" w:themeColor="text1"/>
                <w:spacing w:val="-37"/>
                <w:position w:val="-1"/>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0"/>
                <w:position w:val="-1"/>
                <w:sz w:val="21"/>
                <w:szCs w:val="21"/>
                <w14:textFill>
                  <w14:solidFill>
                    <w14:schemeClr w14:val="tx1"/>
                  </w14:solidFill>
                </w14:textFill>
              </w:rPr>
              <w:t>，较合理可行的得3~4分</w:t>
            </w:r>
            <w:r>
              <w:rPr>
                <w:rFonts w:hint="eastAsia" w:ascii="微软雅黑" w:hAnsi="微软雅黑" w:eastAsia="微软雅黑" w:cs="微软雅黑"/>
                <w:color w:val="000000" w:themeColor="text1"/>
                <w:spacing w:val="-37"/>
                <w:position w:val="-1"/>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0"/>
                <w:position w:val="-1"/>
                <w:sz w:val="21"/>
                <w:szCs w:val="21"/>
                <w14:textFill>
                  <w14:solidFill>
                    <w14:schemeClr w14:val="tx1"/>
                  </w14:solidFill>
                </w14:textFill>
              </w:rPr>
              <w:t>，可</w:t>
            </w:r>
          </w:p>
          <w:p>
            <w:pPr>
              <w:spacing w:line="34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4"/>
                <w:sz w:val="21"/>
                <w:szCs w:val="21"/>
                <w14:textFill>
                  <w14:solidFill>
                    <w14:schemeClr w14:val="tx1"/>
                  </w14:solidFill>
                </w14:textFill>
              </w:rPr>
              <w:t>行性一般得3分。</w:t>
            </w:r>
          </w:p>
        </w:tc>
        <w:tc>
          <w:tcPr>
            <w:tcW w:w="1210" w:type="dxa"/>
            <w:noWrap w:val="0"/>
            <w:vAlign w:val="top"/>
          </w:tcPr>
          <w:p>
            <w:pPr>
              <w:spacing w:line="243"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55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1210" w:type="dxa"/>
            <w:noWrap w:val="0"/>
            <w:vAlign w:val="top"/>
          </w:tcPr>
          <w:p>
            <w:pPr>
              <w:spacing w:line="243"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100</w:t>
            </w:r>
          </w:p>
        </w:tc>
        <w:tc>
          <w:tcPr>
            <w:tcW w:w="1022" w:type="dxa"/>
            <w:noWrap w:val="0"/>
            <w:vAlign w:val="top"/>
          </w:tcPr>
          <w:p>
            <w:pPr>
              <w:rPr>
                <w:rFonts w:hint="eastAsia" w:ascii="微软雅黑" w:hAnsi="微软雅黑" w:eastAsia="微软雅黑" w:cs="微软雅黑"/>
                <w:color w:val="000000" w:themeColor="text1"/>
                <w:sz w:val="21"/>
                <w14:textFill>
                  <w14:solidFill>
                    <w14:schemeClr w14:val="tx1"/>
                  </w14:solidFill>
                </w14:textFill>
              </w:rPr>
            </w:pP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4512" w:hRule="atLeast"/>
        </w:trPr>
        <w:tc>
          <w:tcPr>
            <w:tcW w:w="1030" w:type="dxa"/>
            <w:noWrap w:val="0"/>
            <w:vAlign w:val="top"/>
          </w:tcPr>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4" w:lineRule="auto"/>
              <w:ind w:left="4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2548" w:type="dxa"/>
            <w:noWrap w:val="0"/>
            <w:vAlign w:val="top"/>
          </w:tcPr>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6" w:lineRule="auto"/>
              <w:ind w:left="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监理措施</w:t>
            </w:r>
          </w:p>
        </w:tc>
        <w:tc>
          <w:tcPr>
            <w:tcW w:w="3165" w:type="dxa"/>
            <w:noWrap w:val="0"/>
            <w:vAlign w:val="top"/>
          </w:tcPr>
          <w:p>
            <w:pPr>
              <w:spacing w:before="205" w:line="184"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根据质量监理、安全监理、费用</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监理、进度监理、合同其他事项</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4" w:lineRule="auto"/>
              <w:ind w:left="65"/>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管理、协调各方关系等各项措施</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的合理可行性和有效性进行评定</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6"/>
                <w:sz w:val="21"/>
                <w:szCs w:val="21"/>
                <w14:textFill>
                  <w14:solidFill>
                    <w14:schemeClr w14:val="tx1"/>
                  </w14:solidFill>
                </w14:textFill>
              </w:rPr>
              <w:t>,措施好、得力的得12～15分，</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6"/>
                <w:sz w:val="21"/>
                <w:szCs w:val="21"/>
                <w14:textFill>
                  <w14:solidFill>
                    <w14:schemeClr w14:val="tx1"/>
                  </w14:solidFill>
                </w14:textFill>
              </w:rPr>
              <w:t>措施较好的得9～12分，措施一般</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5" w:lineRule="auto"/>
              <w:ind w:left="7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9"/>
                <w:sz w:val="21"/>
                <w:szCs w:val="21"/>
                <w14:textFill>
                  <w14:solidFill>
                    <w14:schemeClr w14:val="tx1"/>
                  </w14:solidFill>
                </w14:textFill>
              </w:rPr>
              <w:t>的得9分。</w:t>
            </w:r>
          </w:p>
        </w:tc>
        <w:tc>
          <w:tcPr>
            <w:tcW w:w="1210" w:type="dxa"/>
            <w:noWrap w:val="0"/>
            <w:vAlign w:val="top"/>
          </w:tcPr>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51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15</w:t>
            </w:r>
          </w:p>
        </w:tc>
        <w:tc>
          <w:tcPr>
            <w:tcW w:w="1210" w:type="dxa"/>
            <w:noWrap w:val="0"/>
            <w:vAlign w:val="top"/>
          </w:tcPr>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100</w:t>
            </w:r>
          </w:p>
        </w:tc>
        <w:tc>
          <w:tcPr>
            <w:tcW w:w="1022" w:type="dxa"/>
            <w:noWrap w:val="0"/>
            <w:vAlign w:val="top"/>
          </w:tcPr>
          <w:p>
            <w:pPr>
              <w:rPr>
                <w:rFonts w:hint="eastAsia" w:ascii="微软雅黑" w:hAnsi="微软雅黑" w:eastAsia="微软雅黑" w:cs="微软雅黑"/>
                <w:color w:val="000000" w:themeColor="text1"/>
                <w:sz w:val="21"/>
                <w14:textFill>
                  <w14:solidFill>
                    <w14:schemeClr w14:val="tx1"/>
                  </w14:solidFill>
                </w14:textFill>
              </w:rPr>
            </w:pP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9" w:hRule="atLeast"/>
        </w:trPr>
        <w:tc>
          <w:tcPr>
            <w:tcW w:w="1030" w:type="dxa"/>
            <w:noWrap w:val="0"/>
            <w:vAlign w:val="top"/>
          </w:tcPr>
          <w:p>
            <w:pPr>
              <w:spacing w:line="43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2548" w:type="dxa"/>
            <w:noWrap w:val="0"/>
            <w:vAlign w:val="top"/>
          </w:tcPr>
          <w:p>
            <w:pPr>
              <w:spacing w:before="207" w:line="185" w:lineRule="auto"/>
              <w:ind w:left="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对本工程重点、难点问题</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6"/>
                <w:sz w:val="21"/>
                <w:szCs w:val="21"/>
                <w14:textFill>
                  <w14:solidFill>
                    <w14:schemeClr w14:val="tx1"/>
                  </w14:solidFill>
                </w14:textFill>
              </w:rPr>
              <w:t>的把握程度</w:t>
            </w:r>
          </w:p>
        </w:tc>
        <w:tc>
          <w:tcPr>
            <w:tcW w:w="3165" w:type="dxa"/>
            <w:noWrap w:val="0"/>
            <w:vAlign w:val="top"/>
          </w:tcPr>
          <w:p>
            <w:pPr>
              <w:spacing w:before="206"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8"/>
                <w:sz w:val="21"/>
                <w:szCs w:val="21"/>
                <w14:textFill>
                  <w14:solidFill>
                    <w14:schemeClr w14:val="tx1"/>
                  </w14:solidFill>
                </w14:textFill>
              </w:rPr>
              <w:t>非常准确的得4~5分，较准确的得</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2"/>
                <w:sz w:val="21"/>
                <w:szCs w:val="21"/>
                <w14:textFill>
                  <w14:solidFill>
                    <w14:schemeClr w14:val="tx1"/>
                  </w14:solidFill>
                </w14:textFill>
              </w:rPr>
              <w:t>3~4分</w:t>
            </w:r>
            <w:r>
              <w:rPr>
                <w:rFonts w:hint="eastAsia" w:ascii="微软雅黑" w:hAnsi="微软雅黑" w:eastAsia="微软雅黑" w:cs="微软雅黑"/>
                <w:color w:val="000000" w:themeColor="text1"/>
                <w:spacing w:val="-26"/>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2"/>
                <w:sz w:val="21"/>
                <w:szCs w:val="21"/>
                <w14:textFill>
                  <w14:solidFill>
                    <w14:schemeClr w14:val="tx1"/>
                  </w14:solidFill>
                </w14:textFill>
              </w:rPr>
              <w:t>，基本准确得3分。</w:t>
            </w:r>
          </w:p>
        </w:tc>
        <w:tc>
          <w:tcPr>
            <w:tcW w:w="1210" w:type="dxa"/>
            <w:noWrap w:val="0"/>
            <w:vAlign w:val="top"/>
          </w:tcPr>
          <w:p>
            <w:pPr>
              <w:spacing w:line="43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55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1210" w:type="dxa"/>
            <w:noWrap w:val="0"/>
            <w:vAlign w:val="top"/>
          </w:tcPr>
          <w:p>
            <w:pPr>
              <w:spacing w:line="43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100</w:t>
            </w:r>
          </w:p>
        </w:tc>
        <w:tc>
          <w:tcPr>
            <w:tcW w:w="1022" w:type="dxa"/>
            <w:noWrap w:val="0"/>
            <w:vAlign w:val="top"/>
          </w:tcPr>
          <w:p>
            <w:pPr>
              <w:rPr>
                <w:rFonts w:hint="eastAsia" w:ascii="微软雅黑" w:hAnsi="微软雅黑" w:eastAsia="微软雅黑" w:cs="微软雅黑"/>
                <w:color w:val="000000" w:themeColor="text1"/>
                <w:sz w:val="21"/>
                <w14:textFill>
                  <w14:solidFill>
                    <w14:schemeClr w14:val="tx1"/>
                  </w14:solidFill>
                </w14:textFill>
              </w:rPr>
            </w:pP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573" w:hRule="atLeast"/>
        </w:trPr>
        <w:tc>
          <w:tcPr>
            <w:tcW w:w="1030" w:type="dxa"/>
            <w:tcBorders>
              <w:top w:val="single" w:color="7C7C7C" w:sz="8" w:space="0"/>
            </w:tcBorders>
            <w:noWrap w:val="0"/>
            <w:vAlign w:val="top"/>
          </w:tcPr>
          <w:p>
            <w:pPr>
              <w:spacing w:line="266"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4" w:lineRule="auto"/>
              <w:ind w:left="4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2548" w:type="dxa"/>
            <w:tcBorders>
              <w:top w:val="single" w:color="7C7C7C" w:sz="8" w:space="0"/>
            </w:tcBorders>
            <w:noWrap w:val="0"/>
            <w:vAlign w:val="top"/>
          </w:tcPr>
          <w:p>
            <w:pPr>
              <w:spacing w:before="203" w:line="184"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投标人针对本项目应着重</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解决的重点、难点问题所</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提出的处理措施可行性程</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度</w:t>
            </w:r>
          </w:p>
        </w:tc>
        <w:tc>
          <w:tcPr>
            <w:tcW w:w="3165" w:type="dxa"/>
            <w:tcBorders>
              <w:top w:val="single" w:color="7C7C7C" w:sz="8" w:space="0"/>
            </w:tcBorders>
            <w:noWrap w:val="0"/>
            <w:vAlign w:val="top"/>
          </w:tcPr>
          <w:p>
            <w:pPr>
              <w:spacing w:line="42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8"/>
                <w:sz w:val="21"/>
                <w:szCs w:val="21"/>
                <w14:textFill>
                  <w14:solidFill>
                    <w14:schemeClr w14:val="tx1"/>
                  </w14:solidFill>
                </w14:textFill>
              </w:rPr>
              <w:t>处理措施有效可行，得4~5分；基</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本有效可行，得3~4分；可行性一</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1"/>
                <w:sz w:val="21"/>
                <w:szCs w:val="21"/>
                <w14:textFill>
                  <w14:solidFill>
                    <w14:schemeClr w14:val="tx1"/>
                  </w14:solidFill>
                </w14:textFill>
              </w:rPr>
              <w:t>般</w:t>
            </w:r>
            <w:r>
              <w:rPr>
                <w:rFonts w:hint="eastAsia" w:ascii="微软雅黑" w:hAnsi="微软雅黑" w:eastAsia="微软雅黑" w:cs="微软雅黑"/>
                <w:color w:val="000000" w:themeColor="text1"/>
                <w:spacing w:val="-34"/>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1"/>
                <w:sz w:val="21"/>
                <w:szCs w:val="21"/>
                <w14:textFill>
                  <w14:solidFill>
                    <w14:schemeClr w14:val="tx1"/>
                  </w14:solidFill>
                </w14:textFill>
              </w:rPr>
              <w:t>，得3分</w:t>
            </w:r>
          </w:p>
        </w:tc>
        <w:tc>
          <w:tcPr>
            <w:tcW w:w="1210" w:type="dxa"/>
            <w:tcBorders>
              <w:top w:val="single" w:color="7C7C7C" w:sz="8" w:space="0"/>
            </w:tcBorders>
            <w:noWrap w:val="0"/>
            <w:vAlign w:val="top"/>
          </w:tcPr>
          <w:p>
            <w:pPr>
              <w:spacing w:line="266"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55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1210" w:type="dxa"/>
            <w:tcBorders>
              <w:top w:val="single" w:color="7C7C7C" w:sz="8" w:space="0"/>
            </w:tcBorders>
            <w:noWrap w:val="0"/>
            <w:vAlign w:val="top"/>
          </w:tcPr>
          <w:p>
            <w:pPr>
              <w:spacing w:line="266"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100</w:t>
            </w:r>
          </w:p>
        </w:tc>
        <w:tc>
          <w:tcPr>
            <w:tcW w:w="1022" w:type="dxa"/>
            <w:tcBorders>
              <w:top w:val="single" w:color="7C7C7C" w:sz="8" w:space="0"/>
            </w:tcBorders>
            <w:noWrap w:val="0"/>
            <w:vAlign w:val="top"/>
          </w:tcPr>
          <w:p>
            <w:pPr>
              <w:rPr>
                <w:rFonts w:hint="eastAsia" w:ascii="微软雅黑" w:hAnsi="微软雅黑" w:eastAsia="微软雅黑" w:cs="微软雅黑"/>
                <w:color w:val="000000" w:themeColor="text1"/>
                <w:sz w:val="21"/>
                <w14:textFill>
                  <w14:solidFill>
                    <w14:schemeClr w14:val="tx1"/>
                  </w14:solidFill>
                </w14:textFill>
              </w:rPr>
            </w:pP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576" w:hRule="atLeast"/>
        </w:trPr>
        <w:tc>
          <w:tcPr>
            <w:tcW w:w="1030"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2548"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6" w:lineRule="auto"/>
              <w:ind w:left="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对本工程的建议</w:t>
            </w:r>
          </w:p>
        </w:tc>
        <w:tc>
          <w:tcPr>
            <w:tcW w:w="3165" w:type="dxa"/>
            <w:noWrap w:val="0"/>
            <w:vAlign w:val="top"/>
          </w:tcPr>
          <w:p>
            <w:pPr>
              <w:spacing w:before="205" w:line="185" w:lineRule="auto"/>
              <w:ind w:left="5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对投标人所提建议的合理可行性</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7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、可实施性、项目针对性进行评</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4"/>
                <w:sz w:val="21"/>
                <w:szCs w:val="21"/>
                <w14:textFill>
                  <w14:solidFill>
                    <w14:schemeClr w14:val="tx1"/>
                  </w14:solidFill>
                </w14:textFill>
              </w:rPr>
              <w:t>分，很好得4~5分，较好得3~4分</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,一般得3分。</w:t>
            </w:r>
          </w:p>
        </w:tc>
        <w:tc>
          <w:tcPr>
            <w:tcW w:w="1210"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55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1210"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100</w:t>
            </w:r>
          </w:p>
        </w:tc>
        <w:tc>
          <w:tcPr>
            <w:tcW w:w="1022" w:type="dxa"/>
            <w:noWrap w:val="0"/>
            <w:vAlign w:val="top"/>
          </w:tcPr>
          <w:p>
            <w:pPr>
              <w:rPr>
                <w:rFonts w:hint="eastAsia" w:ascii="微软雅黑" w:hAnsi="微软雅黑" w:eastAsia="微软雅黑" w:cs="微软雅黑"/>
                <w:color w:val="000000" w:themeColor="text1"/>
                <w:sz w:val="21"/>
                <w14:textFill>
                  <w14:solidFill>
                    <w14:schemeClr w14:val="tx1"/>
                  </w14:solidFill>
                </w14:textFill>
              </w:rPr>
            </w:pPr>
          </w:p>
        </w:tc>
      </w:tr>
    </w:tbl>
    <w:p>
      <w:pPr>
        <w:spacing w:before="209" w:line="184" w:lineRule="auto"/>
        <w:ind w:left="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8"/>
          <w:sz w:val="21"/>
          <w:szCs w:val="21"/>
          <w14:textFill>
            <w14:solidFill>
              <w14:schemeClr w14:val="tx1"/>
            </w14:solidFill>
          </w14:textFill>
        </w:rPr>
        <w:t>主要人员</w:t>
      </w:r>
    </w:p>
    <w:p>
      <w:pPr>
        <w:spacing w:line="158" w:lineRule="exact"/>
        <w:rPr>
          <w:rFonts w:hint="eastAsia" w:ascii="微软雅黑" w:hAnsi="微软雅黑" w:eastAsia="微软雅黑" w:cs="微软雅黑"/>
          <w:color w:val="000000" w:themeColor="text1"/>
          <w14:textFill>
            <w14:solidFill>
              <w14:schemeClr w14:val="tx1"/>
            </w14:solidFill>
          </w14:textFill>
        </w:rPr>
      </w:pPr>
    </w:p>
    <w:tbl>
      <w:tblPr>
        <w:tblStyle w:val="6"/>
        <w:tblW w:w="10185"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30"/>
        <w:gridCol w:w="2548"/>
        <w:gridCol w:w="3165"/>
        <w:gridCol w:w="1210"/>
        <w:gridCol w:w="1210"/>
        <w:gridCol w:w="1022"/>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0" w:hRule="atLeast"/>
        </w:trPr>
        <w:tc>
          <w:tcPr>
            <w:tcW w:w="1030" w:type="dxa"/>
            <w:noWrap w:val="0"/>
            <w:vAlign w:val="top"/>
          </w:tcPr>
          <w:p>
            <w:pPr>
              <w:spacing w:before="209" w:line="185" w:lineRule="auto"/>
              <w:ind w:left="53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序号</w:t>
            </w:r>
          </w:p>
        </w:tc>
        <w:tc>
          <w:tcPr>
            <w:tcW w:w="2548" w:type="dxa"/>
            <w:noWrap w:val="0"/>
            <w:vAlign w:val="top"/>
          </w:tcPr>
          <w:p>
            <w:pPr>
              <w:spacing w:before="224" w:line="186" w:lineRule="auto"/>
              <w:ind w:left="84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评审因素</w:t>
            </w:r>
          </w:p>
        </w:tc>
        <w:tc>
          <w:tcPr>
            <w:tcW w:w="3165" w:type="dxa"/>
            <w:noWrap w:val="0"/>
            <w:vAlign w:val="top"/>
          </w:tcPr>
          <w:p>
            <w:pPr>
              <w:spacing w:before="224" w:line="186" w:lineRule="auto"/>
              <w:ind w:left="115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评审标准</w:t>
            </w:r>
          </w:p>
        </w:tc>
        <w:tc>
          <w:tcPr>
            <w:tcW w:w="1210" w:type="dxa"/>
            <w:noWrap w:val="0"/>
            <w:vAlign w:val="top"/>
          </w:tcPr>
          <w:p>
            <w:pPr>
              <w:spacing w:before="224" w:line="180" w:lineRule="auto"/>
              <w:ind w:left="7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分值（分）</w:t>
            </w:r>
          </w:p>
        </w:tc>
        <w:tc>
          <w:tcPr>
            <w:tcW w:w="1210" w:type="dxa"/>
            <w:noWrap w:val="0"/>
            <w:vAlign w:val="top"/>
          </w:tcPr>
          <w:p>
            <w:pPr>
              <w:spacing w:before="179" w:line="229" w:lineRule="auto"/>
              <w:ind w:left="9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权重（</w:t>
            </w:r>
            <w:r>
              <w:rPr>
                <w:rFonts w:hint="eastAsia" w:ascii="微软雅黑" w:hAnsi="微软雅黑" w:eastAsia="微软雅黑" w:cs="微软雅黑"/>
                <w:color w:val="000000" w:themeColor="text1"/>
                <w:spacing w:val="-7"/>
                <w:sz w:val="25"/>
                <w:szCs w:val="25"/>
                <w14:textFill>
                  <w14:solidFill>
                    <w14:schemeClr w14:val="tx1"/>
                  </w14:solidFill>
                </w14:textFill>
              </w:rPr>
              <w:t>%</w:t>
            </w:r>
            <w:r>
              <w:rPr>
                <w:rFonts w:hint="eastAsia" w:ascii="微软雅黑" w:hAnsi="微软雅黑" w:eastAsia="微软雅黑" w:cs="微软雅黑"/>
                <w:color w:val="000000" w:themeColor="text1"/>
                <w:spacing w:val="-7"/>
                <w:sz w:val="21"/>
                <w:szCs w:val="21"/>
                <w14:textFill>
                  <w14:solidFill>
                    <w14:schemeClr w14:val="tx1"/>
                  </w14:solidFill>
                </w14:textFill>
              </w:rPr>
              <w:t>）</w:t>
            </w:r>
          </w:p>
        </w:tc>
        <w:tc>
          <w:tcPr>
            <w:tcW w:w="1022" w:type="dxa"/>
            <w:noWrap w:val="0"/>
            <w:vAlign w:val="top"/>
          </w:tcPr>
          <w:p>
            <w:pPr>
              <w:spacing w:before="224" w:line="185" w:lineRule="auto"/>
              <w:ind w:left="19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w w:val="99"/>
                <w:sz w:val="21"/>
                <w:szCs w:val="21"/>
                <w14:textFill>
                  <w14:solidFill>
                    <w14:schemeClr w14:val="tx1"/>
                  </w14:solidFill>
                </w14:textFill>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3865" w:hRule="atLeast"/>
        </w:trPr>
        <w:tc>
          <w:tcPr>
            <w:tcW w:w="1030" w:type="dxa"/>
            <w:noWrap w:val="0"/>
            <w:vAlign w:val="top"/>
          </w:tcPr>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4" w:lineRule="auto"/>
              <w:ind w:left="4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2548" w:type="dxa"/>
            <w:noWrap w:val="0"/>
            <w:vAlign w:val="top"/>
          </w:tcPr>
          <w:p>
            <w:pPr>
              <w:spacing w:line="279" w:lineRule="auto"/>
              <w:rPr>
                <w:rFonts w:hint="eastAsia" w:ascii="微软雅黑" w:hAnsi="微软雅黑" w:eastAsia="微软雅黑" w:cs="微软雅黑"/>
                <w:color w:val="000000" w:themeColor="text1"/>
                <w:sz w:val="21"/>
                <w14:textFill>
                  <w14:solidFill>
                    <w14:schemeClr w14:val="tx1"/>
                  </w14:solidFill>
                </w14:textFill>
              </w:rPr>
            </w:pPr>
          </w:p>
          <w:p>
            <w:pPr>
              <w:spacing w:line="279" w:lineRule="auto"/>
              <w:rPr>
                <w:rFonts w:hint="eastAsia" w:ascii="微软雅黑" w:hAnsi="微软雅黑" w:eastAsia="微软雅黑" w:cs="微软雅黑"/>
                <w:color w:val="000000" w:themeColor="text1"/>
                <w:sz w:val="21"/>
                <w14:textFill>
                  <w14:solidFill>
                    <w14:schemeClr w14:val="tx1"/>
                  </w14:solidFill>
                </w14:textFill>
              </w:rPr>
            </w:pPr>
          </w:p>
          <w:p>
            <w:pPr>
              <w:spacing w:line="279" w:lineRule="auto"/>
              <w:rPr>
                <w:rFonts w:hint="eastAsia" w:ascii="微软雅黑" w:hAnsi="微软雅黑" w:eastAsia="微软雅黑" w:cs="微软雅黑"/>
                <w:color w:val="000000" w:themeColor="text1"/>
                <w:sz w:val="21"/>
                <w14:textFill>
                  <w14:solidFill>
                    <w14:schemeClr w14:val="tx1"/>
                  </w14:solidFill>
                </w14:textFill>
              </w:rPr>
            </w:pPr>
          </w:p>
          <w:p>
            <w:pPr>
              <w:spacing w:line="279" w:lineRule="auto"/>
              <w:rPr>
                <w:rFonts w:hint="eastAsia" w:ascii="微软雅黑" w:hAnsi="微软雅黑" w:eastAsia="微软雅黑" w:cs="微软雅黑"/>
                <w:color w:val="000000" w:themeColor="text1"/>
                <w:sz w:val="21"/>
                <w14:textFill>
                  <w14:solidFill>
                    <w14:schemeClr w14:val="tx1"/>
                  </w14:solidFill>
                </w14:textFill>
              </w:rPr>
            </w:pPr>
          </w:p>
          <w:p>
            <w:pPr>
              <w:spacing w:line="28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总监理工程师或驻地监理</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工程师任职资格与业绩</w:t>
            </w:r>
          </w:p>
        </w:tc>
        <w:tc>
          <w:tcPr>
            <w:tcW w:w="3165" w:type="dxa"/>
            <w:noWrap w:val="0"/>
            <w:vAlign w:val="top"/>
          </w:tcPr>
          <w:p>
            <w:pPr>
              <w:spacing w:before="204" w:line="18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（1）满足资格审查标准得15分；</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0"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（2）在满足资格审查标准的基础</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4"/>
                <w:sz w:val="21"/>
                <w:szCs w:val="21"/>
                <w14:textFill>
                  <w14:solidFill>
                    <w14:schemeClr w14:val="tx1"/>
                  </w14:solidFill>
                </w14:textFill>
              </w:rPr>
              <w:t>上，每增加1项符合相应标段资格</w:t>
            </w:r>
          </w:p>
          <w:p>
            <w:pPr>
              <w:spacing w:line="27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审查条件的总监理工程师（或驻</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0"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4"/>
                <w:sz w:val="21"/>
                <w:szCs w:val="21"/>
                <w14:textFill>
                  <w14:solidFill>
                    <w14:schemeClr w14:val="tx1"/>
                  </w14:solidFill>
                </w14:textFill>
              </w:rPr>
              <w:t>地监理工程师）业绩加5分，最多</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0"/>
                <w:sz w:val="21"/>
                <w:szCs w:val="21"/>
                <w14:textFill>
                  <w14:solidFill>
                    <w14:schemeClr w14:val="tx1"/>
                  </w14:solidFill>
                </w14:textFill>
              </w:rPr>
              <w:t>加10分。</w:t>
            </w:r>
          </w:p>
        </w:tc>
        <w:tc>
          <w:tcPr>
            <w:tcW w:w="1210" w:type="dxa"/>
            <w:noWrap w:val="0"/>
            <w:vAlign w:val="top"/>
          </w:tcPr>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9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5"/>
                <w:sz w:val="21"/>
                <w:szCs w:val="21"/>
                <w14:textFill>
                  <w14:solidFill>
                    <w14:schemeClr w14:val="tx1"/>
                  </w14:solidFill>
                </w14:textFill>
              </w:rPr>
              <w:t>25</w:t>
            </w:r>
          </w:p>
        </w:tc>
        <w:tc>
          <w:tcPr>
            <w:tcW w:w="1210" w:type="dxa"/>
            <w:noWrap w:val="0"/>
            <w:vAlign w:val="top"/>
          </w:tcPr>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4" w:lineRule="auto"/>
              <w:rPr>
                <w:rFonts w:hint="eastAsia" w:ascii="微软雅黑" w:hAnsi="微软雅黑" w:eastAsia="微软雅黑" w:cs="微软雅黑"/>
                <w:color w:val="000000" w:themeColor="text1"/>
                <w:sz w:val="21"/>
                <w14:textFill>
                  <w14:solidFill>
                    <w14:schemeClr w14:val="tx1"/>
                  </w14:solidFill>
                </w14:textFill>
              </w:rPr>
            </w:pPr>
          </w:p>
          <w:p>
            <w:pPr>
              <w:spacing w:line="24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100</w:t>
            </w:r>
          </w:p>
        </w:tc>
        <w:tc>
          <w:tcPr>
            <w:tcW w:w="1022" w:type="dxa"/>
            <w:noWrap w:val="0"/>
            <w:vAlign w:val="top"/>
          </w:tcPr>
          <w:p>
            <w:pPr>
              <w:rPr>
                <w:rFonts w:hint="eastAsia" w:ascii="微软雅黑" w:hAnsi="微软雅黑" w:eastAsia="微软雅黑" w:cs="微软雅黑"/>
                <w:color w:val="000000" w:themeColor="text1"/>
                <w:sz w:val="21"/>
                <w14:textFill>
                  <w14:solidFill>
                    <w14:schemeClr w14:val="tx1"/>
                  </w14:solidFill>
                </w14:textFill>
              </w:rPr>
            </w:pPr>
          </w:p>
        </w:tc>
      </w:tr>
    </w:tbl>
    <w:p>
      <w:pPr>
        <w:spacing w:before="210" w:line="184"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业绩</w:t>
      </w:r>
    </w:p>
    <w:p>
      <w:pPr>
        <w:spacing w:line="158" w:lineRule="exact"/>
        <w:rPr>
          <w:rFonts w:hint="eastAsia" w:ascii="微软雅黑" w:hAnsi="微软雅黑" w:eastAsia="微软雅黑" w:cs="微软雅黑"/>
          <w:color w:val="000000" w:themeColor="text1"/>
          <w14:textFill>
            <w14:solidFill>
              <w14:schemeClr w14:val="tx1"/>
            </w14:solidFill>
          </w14:textFill>
        </w:rPr>
      </w:pPr>
    </w:p>
    <w:tbl>
      <w:tblPr>
        <w:tblStyle w:val="6"/>
        <w:tblW w:w="10185"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30"/>
        <w:gridCol w:w="2548"/>
        <w:gridCol w:w="3165"/>
        <w:gridCol w:w="1210"/>
        <w:gridCol w:w="1210"/>
        <w:gridCol w:w="1022"/>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49" w:hRule="atLeast"/>
        </w:trPr>
        <w:tc>
          <w:tcPr>
            <w:tcW w:w="1030" w:type="dxa"/>
            <w:noWrap w:val="0"/>
            <w:vAlign w:val="top"/>
          </w:tcPr>
          <w:p>
            <w:pPr>
              <w:spacing w:before="209" w:line="185" w:lineRule="auto"/>
              <w:ind w:left="53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序号</w:t>
            </w:r>
          </w:p>
        </w:tc>
        <w:tc>
          <w:tcPr>
            <w:tcW w:w="2548" w:type="dxa"/>
            <w:noWrap w:val="0"/>
            <w:vAlign w:val="top"/>
          </w:tcPr>
          <w:p>
            <w:pPr>
              <w:spacing w:before="224" w:line="186" w:lineRule="auto"/>
              <w:ind w:left="84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评审因素</w:t>
            </w:r>
          </w:p>
        </w:tc>
        <w:tc>
          <w:tcPr>
            <w:tcW w:w="3165" w:type="dxa"/>
            <w:noWrap w:val="0"/>
            <w:vAlign w:val="top"/>
          </w:tcPr>
          <w:p>
            <w:pPr>
              <w:spacing w:before="224" w:line="186" w:lineRule="auto"/>
              <w:ind w:left="115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评审标准</w:t>
            </w:r>
          </w:p>
        </w:tc>
        <w:tc>
          <w:tcPr>
            <w:tcW w:w="1210" w:type="dxa"/>
            <w:noWrap w:val="0"/>
            <w:vAlign w:val="top"/>
          </w:tcPr>
          <w:p>
            <w:pPr>
              <w:spacing w:before="224" w:line="180" w:lineRule="auto"/>
              <w:ind w:left="7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分值（分）</w:t>
            </w:r>
          </w:p>
        </w:tc>
        <w:tc>
          <w:tcPr>
            <w:tcW w:w="1210" w:type="dxa"/>
            <w:noWrap w:val="0"/>
            <w:vAlign w:val="top"/>
          </w:tcPr>
          <w:p>
            <w:pPr>
              <w:spacing w:before="179" w:line="229" w:lineRule="auto"/>
              <w:ind w:left="9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权重（</w:t>
            </w:r>
            <w:r>
              <w:rPr>
                <w:rFonts w:hint="eastAsia" w:ascii="微软雅黑" w:hAnsi="微软雅黑" w:eastAsia="微软雅黑" w:cs="微软雅黑"/>
                <w:color w:val="000000" w:themeColor="text1"/>
                <w:spacing w:val="-7"/>
                <w:sz w:val="25"/>
                <w:szCs w:val="25"/>
                <w14:textFill>
                  <w14:solidFill>
                    <w14:schemeClr w14:val="tx1"/>
                  </w14:solidFill>
                </w14:textFill>
              </w:rPr>
              <w:t>%</w:t>
            </w:r>
            <w:r>
              <w:rPr>
                <w:rFonts w:hint="eastAsia" w:ascii="微软雅黑" w:hAnsi="微软雅黑" w:eastAsia="微软雅黑" w:cs="微软雅黑"/>
                <w:color w:val="000000" w:themeColor="text1"/>
                <w:spacing w:val="-7"/>
                <w:sz w:val="21"/>
                <w:szCs w:val="21"/>
                <w14:textFill>
                  <w14:solidFill>
                    <w14:schemeClr w14:val="tx1"/>
                  </w14:solidFill>
                </w14:textFill>
              </w:rPr>
              <w:t>）</w:t>
            </w:r>
          </w:p>
        </w:tc>
        <w:tc>
          <w:tcPr>
            <w:tcW w:w="1022" w:type="dxa"/>
            <w:noWrap w:val="0"/>
            <w:vAlign w:val="top"/>
          </w:tcPr>
          <w:p>
            <w:pPr>
              <w:spacing w:before="224" w:line="185" w:lineRule="auto"/>
              <w:ind w:left="19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w w:val="99"/>
                <w:sz w:val="21"/>
                <w:szCs w:val="21"/>
                <w14:textFill>
                  <w14:solidFill>
                    <w14:schemeClr w14:val="tx1"/>
                  </w14:solidFill>
                </w14:textFill>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PrEx>
        <w:trPr>
          <w:trHeight w:val="2576" w:hRule="atLeast"/>
        </w:trPr>
        <w:tc>
          <w:tcPr>
            <w:tcW w:w="1030"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4" w:lineRule="auto"/>
              <w:ind w:left="4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2548"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业绩</w:t>
            </w:r>
          </w:p>
        </w:tc>
        <w:tc>
          <w:tcPr>
            <w:tcW w:w="3165" w:type="dxa"/>
            <w:noWrap w:val="0"/>
            <w:vAlign w:val="top"/>
          </w:tcPr>
          <w:p>
            <w:pPr>
              <w:numPr>
                <w:ilvl w:val="0"/>
                <w:numId w:val="2"/>
              </w:numPr>
              <w:spacing w:before="205" w:line="180" w:lineRule="auto"/>
              <w:ind w:left="96"/>
              <w:rPr>
                <w:rFonts w:hint="eastAsia" w:ascii="微软雅黑" w:hAnsi="微软雅黑" w:eastAsia="微软雅黑" w:cs="微软雅黑"/>
                <w:color w:val="000000" w:themeColor="text1"/>
                <w:spacing w:val="-3"/>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 xml:space="preserve">满足资格审查标准得15分； </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lang w:eastAsia="zh-CN"/>
                <w14:textFill>
                  <w14:solidFill>
                    <w14:schemeClr w14:val="tx1"/>
                  </w14:solidFill>
                </w14:textFill>
              </w:rPr>
              <w:t>（</w:t>
            </w:r>
            <w:r>
              <w:rPr>
                <w:rFonts w:hint="eastAsia" w:ascii="微软雅黑" w:hAnsi="微软雅黑" w:eastAsia="微软雅黑" w:cs="微软雅黑"/>
                <w:color w:val="000000" w:themeColor="text1"/>
                <w:spacing w:val="1"/>
                <w:sz w:val="21"/>
                <w:szCs w:val="21"/>
                <w:lang w:val="en-US" w:eastAsia="zh-CN"/>
                <w14:textFill>
                  <w14:solidFill>
                    <w14:schemeClr w14:val="tx1"/>
                  </w14:solidFill>
                </w14:textFill>
              </w:rPr>
              <w:t>2</w:t>
            </w:r>
            <w:r>
              <w:rPr>
                <w:rFonts w:hint="eastAsia" w:ascii="微软雅黑" w:hAnsi="微软雅黑" w:eastAsia="微软雅黑" w:cs="微软雅黑"/>
                <w:color w:val="000000" w:themeColor="text1"/>
                <w:spacing w:val="1"/>
                <w:sz w:val="21"/>
                <w:szCs w:val="21"/>
                <w:lang w:eastAsia="zh-CN"/>
                <w14:textFill>
                  <w14:solidFill>
                    <w14:schemeClr w14:val="tx1"/>
                  </w14:solidFill>
                </w14:textFill>
              </w:rPr>
              <w:t>）</w:t>
            </w:r>
            <w:r>
              <w:rPr>
                <w:rFonts w:hint="eastAsia" w:ascii="微软雅黑" w:hAnsi="微软雅黑" w:eastAsia="微软雅黑" w:cs="微软雅黑"/>
                <w:color w:val="000000" w:themeColor="text1"/>
                <w:spacing w:val="1"/>
                <w:sz w:val="21"/>
                <w:szCs w:val="21"/>
                <w14:textFill>
                  <w14:solidFill>
                    <w14:schemeClr w14:val="tx1"/>
                  </w14:solidFill>
                </w14:textFill>
              </w:rPr>
              <w:t>在满足资格审查标准的基础上，</w:t>
            </w:r>
            <w:r>
              <w:rPr>
                <w:rFonts w:hint="eastAsia" w:ascii="微软雅黑" w:hAnsi="微软雅黑" w:eastAsia="微软雅黑" w:cs="微软雅黑"/>
                <w:color w:val="000000" w:themeColor="text1"/>
                <w:spacing w:val="-2"/>
                <w:sz w:val="21"/>
                <w:szCs w:val="21"/>
                <w14:textFill>
                  <w14:solidFill>
                    <w14:schemeClr w14:val="tx1"/>
                  </w14:solidFill>
                </w14:textFill>
              </w:rPr>
              <w:t>每增加1项符合资格审查条件的业</w:t>
            </w:r>
            <w:r>
              <w:rPr>
                <w:rFonts w:hint="eastAsia" w:ascii="微软雅黑" w:hAnsi="微软雅黑" w:eastAsia="微软雅黑" w:cs="微软雅黑"/>
                <w:color w:val="000000" w:themeColor="text1"/>
                <w:spacing w:val="-8"/>
                <w:sz w:val="21"/>
                <w:szCs w:val="21"/>
                <w14:textFill>
                  <w14:solidFill>
                    <w14:schemeClr w14:val="tx1"/>
                  </w14:solidFill>
                </w14:textFill>
              </w:rPr>
              <w:t>绩加5分</w:t>
            </w:r>
            <w:r>
              <w:rPr>
                <w:rFonts w:hint="eastAsia" w:ascii="微软雅黑" w:hAnsi="微软雅黑" w:eastAsia="微软雅黑" w:cs="微软雅黑"/>
                <w:color w:val="000000" w:themeColor="text1"/>
                <w:spacing w:val="-34"/>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8"/>
                <w:sz w:val="21"/>
                <w:szCs w:val="21"/>
                <w14:textFill>
                  <w14:solidFill>
                    <w14:schemeClr w14:val="tx1"/>
                  </w14:solidFill>
                </w14:textFill>
              </w:rPr>
              <w:t>，最高加10分。</w:t>
            </w:r>
          </w:p>
        </w:tc>
        <w:tc>
          <w:tcPr>
            <w:tcW w:w="1210"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9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5"/>
                <w:sz w:val="21"/>
                <w:szCs w:val="21"/>
                <w14:textFill>
                  <w14:solidFill>
                    <w14:schemeClr w14:val="tx1"/>
                  </w14:solidFill>
                </w14:textFill>
              </w:rPr>
              <w:t>25</w:t>
            </w:r>
          </w:p>
        </w:tc>
        <w:tc>
          <w:tcPr>
            <w:tcW w:w="1210"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100</w:t>
            </w:r>
          </w:p>
        </w:tc>
        <w:tc>
          <w:tcPr>
            <w:tcW w:w="1022" w:type="dxa"/>
            <w:noWrap w:val="0"/>
            <w:vAlign w:val="top"/>
          </w:tcPr>
          <w:p>
            <w:pPr>
              <w:rPr>
                <w:rFonts w:hint="eastAsia" w:ascii="微软雅黑" w:hAnsi="微软雅黑" w:eastAsia="微软雅黑" w:cs="微软雅黑"/>
                <w:color w:val="000000" w:themeColor="text1"/>
                <w:sz w:val="21"/>
                <w14:textFill>
                  <w14:solidFill>
                    <w14:schemeClr w14:val="tx1"/>
                  </w14:solidFill>
                </w14:textFill>
              </w:rPr>
            </w:pPr>
          </w:p>
        </w:tc>
      </w:tr>
    </w:tbl>
    <w:p>
      <w:pPr>
        <w:rPr>
          <w:rFonts w:hint="eastAsia" w:ascii="微软雅黑" w:hAnsi="微软雅黑" w:eastAsia="微软雅黑" w:cs="微软雅黑"/>
          <w:color w:val="000000" w:themeColor="text1"/>
          <w14:textFill>
            <w14:solidFill>
              <w14:schemeClr w14:val="tx1"/>
            </w14:solidFill>
          </w14:textFill>
        </w:rPr>
      </w:pPr>
    </w:p>
    <w:p>
      <w:pPr>
        <w:pStyle w:val="2"/>
        <w:spacing w:before="91" w:line="222" w:lineRule="auto"/>
        <w:rPr>
          <w:rFonts w:hint="eastAsia" w:ascii="微软雅黑" w:hAnsi="微软雅黑" w:eastAsia="微软雅黑" w:cs="微软雅黑"/>
          <w:color w:val="000000" w:themeColor="text1"/>
          <w:spacing w:val="-1"/>
          <w:sz w:val="28"/>
          <w:szCs w:val="28"/>
          <w:lang w:eastAsia="zh-CN"/>
          <w14:textFill>
            <w14:solidFill>
              <w14:schemeClr w14:val="tx1"/>
            </w14:solidFill>
          </w14:textFill>
        </w:rPr>
      </w:pPr>
      <w:r>
        <w:rPr>
          <w:rFonts w:hint="eastAsia" w:ascii="微软雅黑" w:hAnsi="微软雅黑" w:eastAsia="微软雅黑" w:cs="微软雅黑"/>
          <w:color w:val="000000" w:themeColor="text1"/>
          <w:spacing w:val="-1"/>
          <w:sz w:val="28"/>
          <w:szCs w:val="28"/>
          <w:lang w:eastAsia="zh-CN"/>
          <w14:textFill>
            <w14:solidFill>
              <w14:schemeClr w14:val="tx1"/>
            </w14:solidFill>
          </w14:textFill>
        </w:rPr>
        <w:br w:type="page"/>
      </w:r>
    </w:p>
    <w:p>
      <w:pPr>
        <w:bidi w:val="0"/>
        <w:rPr>
          <w:rFonts w:hint="eastAsia" w:ascii="微软雅黑" w:hAnsi="微软雅黑" w:eastAsia="微软雅黑" w:cs="微软雅黑"/>
          <w:color w:val="000000" w:themeColor="text1"/>
          <w:sz w:val="32"/>
          <w:szCs w:val="32"/>
          <w:lang w:eastAsia="zh-CN"/>
          <w14:textFill>
            <w14:solidFill>
              <w14:schemeClr w14:val="tx1"/>
            </w14:solidFill>
          </w14:textFill>
        </w:rPr>
      </w:pPr>
      <w:bookmarkStart w:id="4" w:name="_bookmark93"/>
      <w:bookmarkEnd w:id="4"/>
      <w:r>
        <w:rPr>
          <w:rFonts w:hint="eastAsia" w:ascii="微软雅黑" w:hAnsi="微软雅黑" w:eastAsia="微软雅黑" w:cs="微软雅黑"/>
          <w:color w:val="000000" w:themeColor="text1"/>
          <w:sz w:val="32"/>
          <w:szCs w:val="32"/>
          <w14:textFill>
            <w14:solidFill>
              <w14:schemeClr w14:val="tx1"/>
            </w14:solidFill>
          </w14:textFill>
        </w:rPr>
        <w:t>履约信誉</w:t>
      </w:r>
    </w:p>
    <w:p>
      <w:pPr>
        <w:spacing w:line="170" w:lineRule="exact"/>
        <w:rPr>
          <w:rFonts w:hint="eastAsia" w:ascii="微软雅黑" w:hAnsi="微软雅黑" w:eastAsia="微软雅黑" w:cs="微软雅黑"/>
          <w:color w:val="000000" w:themeColor="text1"/>
          <w14:textFill>
            <w14:solidFill>
              <w14:schemeClr w14:val="tx1"/>
            </w14:solidFill>
          </w14:textFill>
        </w:rPr>
      </w:pPr>
    </w:p>
    <w:tbl>
      <w:tblPr>
        <w:tblStyle w:val="6"/>
        <w:tblW w:w="0" w:type="auto"/>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30"/>
        <w:gridCol w:w="1082"/>
        <w:gridCol w:w="4214"/>
        <w:gridCol w:w="1137"/>
        <w:gridCol w:w="1072"/>
        <w:gridCol w:w="943"/>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1" w:hRule="atLeast"/>
        </w:trPr>
        <w:tc>
          <w:tcPr>
            <w:tcW w:w="1030" w:type="dxa"/>
            <w:noWrap w:val="0"/>
            <w:vAlign w:val="top"/>
          </w:tcPr>
          <w:p>
            <w:pPr>
              <w:spacing w:before="209" w:line="185" w:lineRule="auto"/>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序号</w:t>
            </w:r>
          </w:p>
        </w:tc>
        <w:tc>
          <w:tcPr>
            <w:tcW w:w="1082" w:type="dxa"/>
            <w:noWrap w:val="0"/>
            <w:vAlign w:val="top"/>
          </w:tcPr>
          <w:p>
            <w:pPr>
              <w:spacing w:before="224" w:line="186" w:lineRule="auto"/>
              <w:jc w:val="righ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评审因素</w:t>
            </w:r>
          </w:p>
        </w:tc>
        <w:tc>
          <w:tcPr>
            <w:tcW w:w="4214" w:type="dxa"/>
            <w:noWrap w:val="0"/>
            <w:vAlign w:val="top"/>
          </w:tcPr>
          <w:p>
            <w:pPr>
              <w:spacing w:before="224" w:line="186" w:lineRule="auto"/>
              <w:ind w:left="1154"/>
              <w:jc w:val="righ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评审标准</w:t>
            </w:r>
          </w:p>
        </w:tc>
        <w:tc>
          <w:tcPr>
            <w:tcW w:w="1137" w:type="dxa"/>
            <w:noWrap w:val="0"/>
            <w:vAlign w:val="top"/>
          </w:tcPr>
          <w:p>
            <w:pPr>
              <w:spacing w:before="224" w:line="180" w:lineRule="auto"/>
              <w:ind w:left="77"/>
              <w:jc w:val="righ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分值（分）</w:t>
            </w:r>
          </w:p>
        </w:tc>
        <w:tc>
          <w:tcPr>
            <w:tcW w:w="1072" w:type="dxa"/>
            <w:noWrap w:val="0"/>
            <w:vAlign w:val="top"/>
          </w:tcPr>
          <w:p>
            <w:pPr>
              <w:spacing w:before="179" w:line="229" w:lineRule="auto"/>
              <w:ind w:left="94"/>
              <w:jc w:val="righ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权重（</w:t>
            </w:r>
            <w:r>
              <w:rPr>
                <w:rFonts w:hint="eastAsia" w:ascii="微软雅黑" w:hAnsi="微软雅黑" w:eastAsia="微软雅黑" w:cs="微软雅黑"/>
                <w:color w:val="000000" w:themeColor="text1"/>
                <w:spacing w:val="-7"/>
                <w:sz w:val="25"/>
                <w:szCs w:val="25"/>
                <w14:textFill>
                  <w14:solidFill>
                    <w14:schemeClr w14:val="tx1"/>
                  </w14:solidFill>
                </w14:textFill>
              </w:rPr>
              <w:t>%</w:t>
            </w:r>
            <w:r>
              <w:rPr>
                <w:rFonts w:hint="eastAsia" w:ascii="微软雅黑" w:hAnsi="微软雅黑" w:eastAsia="微软雅黑" w:cs="微软雅黑"/>
                <w:color w:val="000000" w:themeColor="text1"/>
                <w:spacing w:val="-7"/>
                <w:sz w:val="21"/>
                <w:szCs w:val="21"/>
                <w14:textFill>
                  <w14:solidFill>
                    <w14:schemeClr w14:val="tx1"/>
                  </w14:solidFill>
                </w14:textFill>
              </w:rPr>
              <w:t>）</w:t>
            </w:r>
          </w:p>
        </w:tc>
        <w:tc>
          <w:tcPr>
            <w:tcW w:w="943" w:type="dxa"/>
            <w:noWrap w:val="0"/>
            <w:vAlign w:val="top"/>
          </w:tcPr>
          <w:p>
            <w:pPr>
              <w:spacing w:before="224" w:line="185" w:lineRule="auto"/>
              <w:ind w:left="199"/>
              <w:jc w:val="righ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w w:val="99"/>
                <w:sz w:val="21"/>
                <w:szCs w:val="21"/>
                <w14:textFill>
                  <w14:solidFill>
                    <w14:schemeClr w14:val="tx1"/>
                  </w14:solidFill>
                </w14:textFill>
              </w:rPr>
              <w:t>客观分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5039" w:hRule="atLeast"/>
        </w:trPr>
        <w:tc>
          <w:tcPr>
            <w:tcW w:w="1030" w:type="dxa"/>
            <w:noWrap w:val="0"/>
            <w:vAlign w:val="top"/>
          </w:tcPr>
          <w:p>
            <w:pPr>
              <w:spacing w:line="241" w:lineRule="auto"/>
              <w:rPr>
                <w:rFonts w:hint="eastAsia" w:ascii="微软雅黑" w:hAnsi="微软雅黑" w:eastAsia="微软雅黑" w:cs="微软雅黑"/>
                <w:color w:val="000000" w:themeColor="text1"/>
                <w:sz w:val="21"/>
                <w14:textFill>
                  <w14:solidFill>
                    <w14:schemeClr w14:val="tx1"/>
                  </w14:solidFill>
                </w14:textFill>
              </w:rPr>
            </w:pPr>
          </w:p>
          <w:p>
            <w:pPr>
              <w:spacing w:line="242" w:lineRule="auto"/>
              <w:rPr>
                <w:rFonts w:hint="eastAsia" w:ascii="微软雅黑" w:hAnsi="微软雅黑" w:eastAsia="微软雅黑" w:cs="微软雅黑"/>
                <w:color w:val="000000" w:themeColor="text1"/>
                <w:sz w:val="21"/>
                <w14:textFill>
                  <w14:solidFill>
                    <w14:schemeClr w14:val="tx1"/>
                  </w14:solidFill>
                </w14:textFill>
              </w:rPr>
            </w:pPr>
          </w:p>
          <w:p>
            <w:pPr>
              <w:spacing w:line="242" w:lineRule="auto"/>
              <w:rPr>
                <w:rFonts w:hint="eastAsia" w:ascii="微软雅黑" w:hAnsi="微软雅黑" w:eastAsia="微软雅黑" w:cs="微软雅黑"/>
                <w:color w:val="000000" w:themeColor="text1"/>
                <w:sz w:val="21"/>
                <w14:textFill>
                  <w14:solidFill>
                    <w14:schemeClr w14:val="tx1"/>
                  </w14:solidFill>
                </w14:textFill>
              </w:rPr>
            </w:pPr>
          </w:p>
          <w:p>
            <w:pPr>
              <w:spacing w:line="242" w:lineRule="auto"/>
              <w:rPr>
                <w:rFonts w:hint="eastAsia" w:ascii="微软雅黑" w:hAnsi="微软雅黑" w:eastAsia="微软雅黑" w:cs="微软雅黑"/>
                <w:color w:val="000000" w:themeColor="text1"/>
                <w:sz w:val="21"/>
                <w14:textFill>
                  <w14:solidFill>
                    <w14:schemeClr w14:val="tx1"/>
                  </w14:solidFill>
                </w14:textFill>
              </w:rPr>
            </w:pPr>
          </w:p>
          <w:p>
            <w:pPr>
              <w:spacing w:line="24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4" w:lineRule="auto"/>
              <w:ind w:left="4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1082" w:type="dxa"/>
            <w:noWrap w:val="0"/>
            <w:vAlign w:val="top"/>
          </w:tcPr>
          <w:p>
            <w:pPr>
              <w:spacing w:before="90" w:line="185" w:lineRule="auto"/>
              <w:ind w:left="61"/>
              <w:rPr>
                <w:rFonts w:hint="eastAsia" w:ascii="微软雅黑" w:hAnsi="微软雅黑" w:eastAsia="微软雅黑" w:cs="微软雅黑"/>
                <w:color w:val="000000" w:themeColor="text1"/>
                <w:spacing w:val="-4"/>
                <w:sz w:val="21"/>
                <w:szCs w:val="21"/>
                <w14:textFill>
                  <w14:solidFill>
                    <w14:schemeClr w14:val="tx1"/>
                  </w14:solidFill>
                </w14:textFill>
              </w:rPr>
            </w:pPr>
          </w:p>
          <w:p>
            <w:pPr>
              <w:spacing w:before="90" w:line="185" w:lineRule="auto"/>
              <w:ind w:left="61"/>
              <w:rPr>
                <w:rFonts w:hint="eastAsia" w:ascii="微软雅黑" w:hAnsi="微软雅黑" w:eastAsia="微软雅黑" w:cs="微软雅黑"/>
                <w:color w:val="000000" w:themeColor="text1"/>
                <w:spacing w:val="-4"/>
                <w:sz w:val="21"/>
                <w:szCs w:val="21"/>
                <w14:textFill>
                  <w14:solidFill>
                    <w14:schemeClr w14:val="tx1"/>
                  </w14:solidFill>
                </w14:textFill>
              </w:rPr>
            </w:pPr>
          </w:p>
          <w:p>
            <w:pPr>
              <w:spacing w:before="90" w:line="185" w:lineRule="auto"/>
              <w:ind w:left="61"/>
              <w:rPr>
                <w:rFonts w:hint="eastAsia" w:ascii="微软雅黑" w:hAnsi="微软雅黑" w:eastAsia="微软雅黑" w:cs="微软雅黑"/>
                <w:color w:val="000000" w:themeColor="text1"/>
                <w:spacing w:val="-4"/>
                <w:sz w:val="21"/>
                <w:szCs w:val="21"/>
                <w14:textFill>
                  <w14:solidFill>
                    <w14:schemeClr w14:val="tx1"/>
                  </w14:solidFill>
                </w14:textFill>
              </w:rPr>
            </w:pPr>
          </w:p>
          <w:p>
            <w:pPr>
              <w:spacing w:before="90" w:line="185" w:lineRule="auto"/>
              <w:ind w:left="61"/>
              <w:rPr>
                <w:rFonts w:hint="eastAsia" w:ascii="微软雅黑" w:hAnsi="微软雅黑" w:eastAsia="微软雅黑" w:cs="微软雅黑"/>
                <w:color w:val="000000" w:themeColor="text1"/>
                <w:spacing w:val="-4"/>
                <w:sz w:val="21"/>
                <w:szCs w:val="21"/>
                <w14:textFill>
                  <w14:solidFill>
                    <w14:schemeClr w14:val="tx1"/>
                  </w14:solidFill>
                </w14:textFill>
              </w:rPr>
            </w:pPr>
          </w:p>
          <w:p>
            <w:pPr>
              <w:spacing w:before="90" w:line="185" w:lineRule="auto"/>
              <w:ind w:left="61"/>
              <w:rPr>
                <w:rFonts w:hint="eastAsia" w:ascii="微软雅黑" w:hAnsi="微软雅黑" w:eastAsia="微软雅黑" w:cs="微软雅黑"/>
                <w:color w:val="000000" w:themeColor="text1"/>
                <w:spacing w:val="-4"/>
                <w:sz w:val="21"/>
                <w:szCs w:val="21"/>
                <w14:textFill>
                  <w14:solidFill>
                    <w14:schemeClr w14:val="tx1"/>
                  </w14:solidFill>
                </w14:textFill>
              </w:rPr>
            </w:pPr>
          </w:p>
          <w:p>
            <w:pPr>
              <w:spacing w:before="90" w:line="185" w:lineRule="auto"/>
              <w:ind w:left="61"/>
              <w:rPr>
                <w:rFonts w:hint="eastAsia" w:ascii="微软雅黑" w:hAnsi="微软雅黑" w:eastAsia="微软雅黑" w:cs="微软雅黑"/>
                <w:color w:val="000000" w:themeColor="text1"/>
                <w:spacing w:val="-4"/>
                <w:sz w:val="21"/>
                <w:szCs w:val="21"/>
                <w14:textFill>
                  <w14:solidFill>
                    <w14:schemeClr w14:val="tx1"/>
                  </w14:solidFill>
                </w14:textFill>
              </w:rPr>
            </w:pPr>
            <w:r>
              <w:rPr>
                <w:rFonts w:hint="eastAsia" w:ascii="微软雅黑" w:hAnsi="微软雅黑" w:eastAsia="微软雅黑" w:cs="微软雅黑"/>
                <w:color w:val="000000" w:themeColor="text1"/>
                <w:spacing w:val="-4"/>
                <w:sz w:val="21"/>
                <w:szCs w:val="21"/>
                <w14:textFill>
                  <w14:solidFill>
                    <w14:schemeClr w14:val="tx1"/>
                  </w14:solidFill>
                </w14:textFill>
              </w:rPr>
              <w:t>履约信誉</w:t>
            </w:r>
          </w:p>
        </w:tc>
        <w:tc>
          <w:tcPr>
            <w:tcW w:w="4214" w:type="dxa"/>
            <w:noWrap w:val="0"/>
            <w:vAlign w:val="top"/>
          </w:tcPr>
          <w:p>
            <w:pPr>
              <w:spacing w:before="90" w:line="185" w:lineRule="auto"/>
              <w:ind w:left="61"/>
              <w:rPr>
                <w:rFonts w:hint="eastAsia" w:ascii="微软雅黑" w:hAnsi="微软雅黑" w:eastAsia="微软雅黑" w:cs="微软雅黑"/>
                <w:color w:val="000000" w:themeColor="text1"/>
                <w:spacing w:val="-4"/>
                <w:sz w:val="21"/>
                <w:szCs w:val="21"/>
                <w14:textFill>
                  <w14:solidFill>
                    <w14:schemeClr w14:val="tx1"/>
                  </w14:solidFill>
                </w14:textFill>
              </w:rPr>
            </w:pPr>
            <w:bookmarkStart w:id="5" w:name="OLE_LINK2"/>
            <w:bookmarkStart w:id="6" w:name="OLE_LINK3"/>
            <w:bookmarkStart w:id="7" w:name="OLE_LINK4"/>
            <w:r>
              <w:rPr>
                <w:rFonts w:hint="eastAsia" w:ascii="微软雅黑" w:hAnsi="微软雅黑" w:eastAsia="微软雅黑" w:cs="微软雅黑"/>
                <w:color w:val="000000" w:themeColor="text1"/>
                <w:spacing w:val="-4"/>
                <w:sz w:val="21"/>
                <w:szCs w:val="21"/>
                <w14:textFill>
                  <w14:solidFill>
                    <w14:schemeClr w14:val="tx1"/>
                  </w14:solidFill>
                </w14:textFill>
              </w:rPr>
              <w:t>投标人在陕西省2023年度公路</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监</w:t>
            </w:r>
            <w:r>
              <w:rPr>
                <w:rFonts w:hint="eastAsia" w:ascii="微软雅黑" w:hAnsi="微软雅黑" w:eastAsia="微软雅黑" w:cs="微软雅黑"/>
                <w:color w:val="000000" w:themeColor="text1"/>
                <w:spacing w:val="-4"/>
                <w:sz w:val="21"/>
                <w:szCs w:val="21"/>
                <w14:textFill>
                  <w14:solidFill>
                    <w14:schemeClr w14:val="tx1"/>
                  </w14:solidFill>
                </w14:textFill>
              </w:rPr>
              <w:t>理企业信用评价结果评为“AA’得5分;评为“A”得4分;评为B”得3分，评为“C”得2分。备注:①对具有陕西省交通运输厅</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2</w:t>
            </w:r>
            <w:r>
              <w:rPr>
                <w:rFonts w:hint="eastAsia" w:ascii="微软雅黑" w:hAnsi="微软雅黑" w:eastAsia="微软雅黑" w:cs="微软雅黑"/>
                <w:color w:val="000000" w:themeColor="text1"/>
                <w:spacing w:val="-4"/>
                <w:sz w:val="21"/>
                <w:szCs w:val="21"/>
                <w14:textFill>
                  <w14:solidFill>
                    <w14:schemeClr w14:val="tx1"/>
                  </w14:solidFill>
                </w14:textFill>
              </w:rPr>
              <w:t>022</w:t>
            </w:r>
            <w:bookmarkStart w:id="8" w:name="OLE_LINK1"/>
            <w:r>
              <w:rPr>
                <w:rFonts w:hint="eastAsia" w:ascii="微软雅黑" w:hAnsi="微软雅黑" w:eastAsia="微软雅黑" w:cs="微软雅黑"/>
                <w:color w:val="000000" w:themeColor="text1"/>
                <w:spacing w:val="-4"/>
                <w:sz w:val="21"/>
                <w:szCs w:val="21"/>
                <w14:textFill>
                  <w14:solidFill>
                    <w14:schemeClr w14:val="tx1"/>
                  </w14:solidFill>
                </w14:textFill>
              </w:rPr>
              <w:t>年</w:t>
            </w:r>
            <w:bookmarkEnd w:id="8"/>
            <w:r>
              <w:rPr>
                <w:rFonts w:hint="eastAsia" w:ascii="微软雅黑" w:hAnsi="微软雅黑" w:eastAsia="微软雅黑" w:cs="微软雅黑"/>
                <w:color w:val="000000" w:themeColor="text1"/>
                <w:spacing w:val="-4"/>
                <w:sz w:val="21"/>
                <w:szCs w:val="21"/>
                <w14:textFill>
                  <w14:solidFill>
                    <w14:schemeClr w14:val="tx1"/>
                  </w14:solidFill>
                </w14:textFill>
              </w:rPr>
              <w:t>度信用评价等级而无202</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3</w:t>
            </w:r>
            <w:r>
              <w:rPr>
                <w:rFonts w:hint="eastAsia" w:ascii="微软雅黑" w:hAnsi="微软雅黑" w:eastAsia="微软雅黑" w:cs="微软雅黑"/>
                <w:color w:val="000000" w:themeColor="text1"/>
                <w:spacing w:val="-4"/>
                <w:sz w:val="21"/>
                <w:szCs w:val="21"/>
                <w14:textFill>
                  <w14:solidFill>
                    <w14:schemeClr w14:val="tx1"/>
                  </w14:solidFill>
                </w14:textFill>
              </w:rPr>
              <w:t>年度信用评价等级</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的企业，其2022年度信用评价等级</w:t>
            </w:r>
            <w:r>
              <w:rPr>
                <w:rFonts w:hint="eastAsia" w:ascii="微软雅黑" w:hAnsi="微软雅黑" w:eastAsia="微软雅黑" w:cs="微软雅黑"/>
                <w:color w:val="000000" w:themeColor="text1"/>
                <w:spacing w:val="-4"/>
                <w:sz w:val="21"/>
                <w:szCs w:val="21"/>
                <w14:textFill>
                  <w14:solidFill>
                    <w14:schemeClr w14:val="tx1"/>
                  </w14:solidFill>
                </w14:textFill>
              </w:rPr>
              <w:t>延续1年。②</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初</w:t>
            </w:r>
            <w:r>
              <w:rPr>
                <w:rFonts w:hint="eastAsia" w:ascii="微软雅黑" w:hAnsi="微软雅黑" w:eastAsia="微软雅黑" w:cs="微软雅黑"/>
                <w:color w:val="000000" w:themeColor="text1"/>
                <w:spacing w:val="-4"/>
                <w:sz w:val="21"/>
                <w:szCs w:val="21"/>
                <w14:textFill>
                  <w14:solidFill>
                    <w14:schemeClr w14:val="tx1"/>
                  </w14:solidFill>
                </w14:textFill>
              </w:rPr>
              <w:t>次进入陕西</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省</w:t>
            </w:r>
            <w:r>
              <w:rPr>
                <w:rFonts w:hint="eastAsia" w:ascii="微软雅黑" w:hAnsi="微软雅黑" w:eastAsia="微软雅黑" w:cs="微软雅黑"/>
                <w:color w:val="000000" w:themeColor="text1"/>
                <w:spacing w:val="-4"/>
                <w:sz w:val="21"/>
                <w:szCs w:val="21"/>
                <w14:textFill>
                  <w14:solidFill>
                    <w14:schemeClr w14:val="tx1"/>
                  </w14:solidFill>
                </w14:textFill>
              </w:rPr>
              <w:t>的从业企业，按照</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全</w:t>
            </w:r>
            <w:r>
              <w:rPr>
                <w:rFonts w:hint="eastAsia" w:ascii="微软雅黑" w:hAnsi="微软雅黑" w:eastAsia="微软雅黑" w:cs="微软雅黑"/>
                <w:color w:val="000000" w:themeColor="text1"/>
                <w:spacing w:val="-4"/>
                <w:sz w:val="21"/>
                <w:szCs w:val="21"/>
                <w14:textFill>
                  <w14:solidFill>
                    <w14:schemeClr w14:val="tx1"/>
                  </w14:solidFill>
                </w14:textFill>
              </w:rPr>
              <w:t>国20</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23</w:t>
            </w:r>
            <w:r>
              <w:rPr>
                <w:rFonts w:hint="eastAsia" w:ascii="微软雅黑" w:hAnsi="微软雅黑" w:eastAsia="微软雅黑" w:cs="微软雅黑"/>
                <w:color w:val="000000" w:themeColor="text1"/>
                <w:spacing w:val="-4"/>
                <w:sz w:val="21"/>
                <w:szCs w:val="21"/>
                <w14:textFill>
                  <w14:solidFill>
                    <w14:schemeClr w14:val="tx1"/>
                  </w14:solidFill>
                </w14:textFill>
              </w:rPr>
              <w:t>年公路施工监理企业</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综</w:t>
            </w:r>
            <w:r>
              <w:rPr>
                <w:rFonts w:hint="eastAsia" w:ascii="微软雅黑" w:hAnsi="微软雅黑" w:eastAsia="微软雅黑" w:cs="微软雅黑"/>
                <w:color w:val="000000" w:themeColor="text1"/>
                <w:spacing w:val="-4"/>
                <w:sz w:val="21"/>
                <w:szCs w:val="21"/>
                <w14:textFill>
                  <w14:solidFill>
                    <w14:schemeClr w14:val="tx1"/>
                  </w14:solidFill>
                </w14:textFill>
              </w:rPr>
              <w:t>合</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信</w:t>
            </w:r>
            <w:r>
              <w:rPr>
                <w:rFonts w:hint="eastAsia" w:ascii="微软雅黑" w:hAnsi="微软雅黑" w:eastAsia="微软雅黑" w:cs="微软雅黑"/>
                <w:color w:val="000000" w:themeColor="text1"/>
                <w:spacing w:val="-4"/>
                <w:sz w:val="21"/>
                <w:szCs w:val="21"/>
                <w14:textFill>
                  <w14:solidFill>
                    <w14:schemeClr w14:val="tx1"/>
                  </w14:solidFill>
                </w14:textFill>
              </w:rPr>
              <w:t>用评价等级确定。延续省厅上一年信用评价结果后仍无信用评价结果的，按照全国2022年</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公</w:t>
            </w:r>
            <w:r>
              <w:rPr>
                <w:rFonts w:hint="eastAsia" w:ascii="微软雅黑" w:hAnsi="微软雅黑" w:eastAsia="微软雅黑" w:cs="微软雅黑"/>
                <w:color w:val="000000" w:themeColor="text1"/>
                <w:spacing w:val="-4"/>
                <w:sz w:val="21"/>
                <w:szCs w:val="21"/>
                <w14:textFill>
                  <w14:solidFill>
                    <w14:schemeClr w14:val="tx1"/>
                  </w14:solidFill>
                </w14:textFill>
              </w:rPr>
              <w:t>路施工监理企业综合评价结果对待，但不得高于省厅原评价等级的上一级。无全国综合评价结果</w:t>
            </w:r>
            <w:r>
              <w:rPr>
                <w:rFonts w:hint="eastAsia" w:ascii="微软雅黑" w:hAnsi="微软雅黑" w:eastAsia="微软雅黑" w:cs="微软雅黑"/>
                <w:color w:val="000000" w:themeColor="text1"/>
                <w:spacing w:val="-4"/>
                <w:sz w:val="21"/>
                <w:szCs w:val="21"/>
                <w:lang w:val="en-US" w:eastAsia="zh-CN"/>
                <w14:textFill>
                  <w14:solidFill>
                    <w14:schemeClr w14:val="tx1"/>
                  </w14:solidFill>
                </w14:textFill>
              </w:rPr>
              <w:t>的</w:t>
            </w:r>
            <w:r>
              <w:rPr>
                <w:rFonts w:hint="eastAsia" w:ascii="微软雅黑" w:hAnsi="微软雅黑" w:eastAsia="微软雅黑" w:cs="微软雅黑"/>
                <w:color w:val="000000" w:themeColor="text1"/>
                <w:spacing w:val="-4"/>
                <w:sz w:val="21"/>
                <w:szCs w:val="21"/>
                <w14:textFill>
                  <w14:solidFill>
                    <w14:schemeClr w14:val="tx1"/>
                  </w14:solidFill>
                </w14:textFill>
              </w:rPr>
              <w:t>企业，且无不良信用行为按A级对待。</w:t>
            </w:r>
            <w:bookmarkEnd w:id="5"/>
            <w:bookmarkEnd w:id="6"/>
            <w:bookmarkEnd w:id="7"/>
          </w:p>
          <w:p>
            <w:pPr>
              <w:spacing w:before="90" w:line="185" w:lineRule="auto"/>
              <w:ind w:left="61"/>
              <w:rPr>
                <w:rFonts w:hint="eastAsia" w:ascii="微软雅黑" w:hAnsi="微软雅黑" w:eastAsia="微软雅黑" w:cs="微软雅黑"/>
                <w:color w:val="000000" w:themeColor="text1"/>
                <w:spacing w:val="-4"/>
                <w:sz w:val="21"/>
                <w:szCs w:val="21"/>
                <w14:textFill>
                  <w14:solidFill>
                    <w14:schemeClr w14:val="tx1"/>
                  </w14:solidFill>
                </w14:textFill>
              </w:rPr>
            </w:pPr>
          </w:p>
        </w:tc>
        <w:tc>
          <w:tcPr>
            <w:tcW w:w="1137" w:type="dxa"/>
            <w:noWrap w:val="0"/>
            <w:vAlign w:val="top"/>
          </w:tcPr>
          <w:p>
            <w:pPr>
              <w:spacing w:line="241" w:lineRule="auto"/>
              <w:rPr>
                <w:rFonts w:hint="eastAsia" w:ascii="微软雅黑" w:hAnsi="微软雅黑" w:eastAsia="微软雅黑" w:cs="微软雅黑"/>
                <w:color w:val="000000" w:themeColor="text1"/>
                <w:sz w:val="21"/>
                <w14:textFill>
                  <w14:solidFill>
                    <w14:schemeClr w14:val="tx1"/>
                  </w14:solidFill>
                </w14:textFill>
              </w:rPr>
            </w:pPr>
          </w:p>
          <w:p>
            <w:pPr>
              <w:spacing w:line="241" w:lineRule="auto"/>
              <w:rPr>
                <w:rFonts w:hint="eastAsia" w:ascii="微软雅黑" w:hAnsi="微软雅黑" w:eastAsia="微软雅黑" w:cs="微软雅黑"/>
                <w:color w:val="000000" w:themeColor="text1"/>
                <w:sz w:val="21"/>
                <w14:textFill>
                  <w14:solidFill>
                    <w14:schemeClr w14:val="tx1"/>
                  </w14:solidFill>
                </w14:textFill>
              </w:rPr>
            </w:pPr>
          </w:p>
          <w:p>
            <w:pPr>
              <w:spacing w:line="241"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551"/>
              <w:rPr>
                <w:rFonts w:hint="eastAsia" w:ascii="微软雅黑" w:hAnsi="微软雅黑" w:eastAsia="微软雅黑" w:cs="微软雅黑"/>
                <w:color w:val="000000" w:themeColor="text1"/>
                <w:sz w:val="21"/>
                <w:szCs w:val="21"/>
                <w14:textFill>
                  <w14:solidFill>
                    <w14:schemeClr w14:val="tx1"/>
                  </w14:solidFill>
                </w14:textFill>
              </w:rPr>
            </w:pPr>
          </w:p>
          <w:p>
            <w:pPr>
              <w:spacing w:before="90" w:line="202" w:lineRule="auto"/>
              <w:ind w:left="55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1072" w:type="dxa"/>
            <w:noWrap w:val="0"/>
            <w:vAlign w:val="top"/>
          </w:tcPr>
          <w:p>
            <w:pPr>
              <w:spacing w:line="242" w:lineRule="auto"/>
              <w:rPr>
                <w:rFonts w:hint="eastAsia" w:ascii="微软雅黑" w:hAnsi="微软雅黑" w:eastAsia="微软雅黑" w:cs="微软雅黑"/>
                <w:color w:val="000000" w:themeColor="text1"/>
                <w:sz w:val="21"/>
                <w14:textFill>
                  <w14:solidFill>
                    <w14:schemeClr w14:val="tx1"/>
                  </w14:solidFill>
                </w14:textFill>
              </w:rPr>
            </w:pPr>
          </w:p>
          <w:p>
            <w:pPr>
              <w:spacing w:line="242" w:lineRule="auto"/>
              <w:rPr>
                <w:rFonts w:hint="eastAsia" w:ascii="微软雅黑" w:hAnsi="微软雅黑" w:eastAsia="微软雅黑" w:cs="微软雅黑"/>
                <w:color w:val="000000" w:themeColor="text1"/>
                <w:sz w:val="21"/>
                <w14:textFill>
                  <w14:solidFill>
                    <w14:schemeClr w14:val="tx1"/>
                  </w14:solidFill>
                </w14:textFill>
              </w:rPr>
            </w:pPr>
          </w:p>
          <w:p>
            <w:pPr>
              <w:spacing w:line="242" w:lineRule="auto"/>
              <w:rPr>
                <w:rFonts w:hint="eastAsia" w:ascii="微软雅黑" w:hAnsi="微软雅黑" w:eastAsia="微软雅黑" w:cs="微软雅黑"/>
                <w:color w:val="000000" w:themeColor="text1"/>
                <w:sz w:val="21"/>
                <w14:textFill>
                  <w14:solidFill>
                    <w14:schemeClr w14:val="tx1"/>
                  </w14:solidFill>
                </w14:textFill>
              </w:rPr>
            </w:pPr>
          </w:p>
          <w:p>
            <w:pPr>
              <w:spacing w:line="24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1"/>
                <w:sz w:val="21"/>
                <w:szCs w:val="21"/>
                <w14:textFill>
                  <w14:solidFill>
                    <w14:schemeClr w14:val="tx1"/>
                  </w14:solidFill>
                </w14:textFill>
              </w:rPr>
              <w:t>100</w:t>
            </w:r>
          </w:p>
        </w:tc>
        <w:tc>
          <w:tcPr>
            <w:tcW w:w="943" w:type="dxa"/>
            <w:noWrap w:val="0"/>
            <w:vAlign w:val="top"/>
          </w:tcPr>
          <w:p>
            <w:pPr>
              <w:rPr>
                <w:rFonts w:hint="eastAsia" w:ascii="微软雅黑" w:hAnsi="微软雅黑" w:eastAsia="微软雅黑" w:cs="微软雅黑"/>
                <w:color w:val="000000" w:themeColor="text1"/>
                <w:sz w:val="21"/>
                <w14:textFill>
                  <w14:solidFill>
                    <w14:schemeClr w14:val="tx1"/>
                  </w14:solidFill>
                </w14:textFill>
              </w:rPr>
            </w:pPr>
          </w:p>
        </w:tc>
      </w:tr>
    </w:tbl>
    <w:p>
      <w:pPr>
        <w:spacing w:before="208" w:line="185" w:lineRule="auto"/>
        <w:ind w:left="484"/>
        <w:rPr>
          <w:rFonts w:hint="eastAsia" w:ascii="微软雅黑" w:hAnsi="微软雅黑" w:eastAsia="微软雅黑" w:cs="微软雅黑"/>
          <w:color w:val="000000" w:themeColor="text1"/>
          <w:sz w:val="21"/>
          <w:szCs w:val="21"/>
          <w14:textFill>
            <w14:solidFill>
              <w14:schemeClr w14:val="tx1"/>
            </w14:solidFill>
          </w14:textFill>
        </w:rPr>
      </w:pPr>
      <w:bookmarkStart w:id="9" w:name="_GoBack"/>
      <w:bookmarkEnd w:id="9"/>
      <w:r>
        <w:rPr>
          <w:rFonts w:hint="eastAsia" w:ascii="微软雅黑" w:hAnsi="微软雅黑" w:eastAsia="微软雅黑" w:cs="微软雅黑"/>
          <w:color w:val="000000" w:themeColor="text1"/>
          <w:spacing w:val="11"/>
          <w:sz w:val="21"/>
          <w:szCs w:val="21"/>
          <w14:textFill>
            <w14:solidFill>
              <w14:schemeClr w14:val="tx1"/>
            </w14:solidFill>
          </w14:textFill>
        </w:rPr>
        <w:br w:type="page"/>
      </w:r>
      <w:r>
        <w:rPr>
          <w:rFonts w:hint="eastAsia" w:ascii="微软雅黑" w:hAnsi="微软雅黑" w:eastAsia="微软雅黑" w:cs="微软雅黑"/>
          <w:color w:val="000000" w:themeColor="text1"/>
          <w:spacing w:val="11"/>
          <w:sz w:val="21"/>
          <w:szCs w:val="21"/>
          <w14:textFill>
            <w14:solidFill>
              <w14:schemeClr w14:val="tx1"/>
            </w14:solidFill>
          </w14:textFill>
        </w:rPr>
        <w:t>二信封评审步骤包括：</w:t>
      </w:r>
      <w:r>
        <w:rPr>
          <w:rFonts w:hint="eastAsia" w:ascii="微软雅黑" w:hAnsi="微软雅黑" w:eastAsia="微软雅黑" w:cs="微软雅黑"/>
          <w:color w:val="000000" w:themeColor="text1"/>
          <w:spacing w:val="-21"/>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1"/>
          <w:sz w:val="21"/>
          <w:szCs w:val="21"/>
          <w14:textFill>
            <w14:solidFill>
              <w14:schemeClr w14:val="tx1"/>
            </w14:solidFill>
          </w14:textFill>
        </w:rPr>
        <w:t>形式评审与响应性评审</w:t>
      </w:r>
      <w:r>
        <w:rPr>
          <w:rFonts w:hint="eastAsia" w:ascii="微软雅黑" w:hAnsi="微软雅黑" w:eastAsia="微软雅黑" w:cs="微软雅黑"/>
          <w:color w:val="000000" w:themeColor="text1"/>
          <w:spacing w:val="-24"/>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1"/>
          <w:sz w:val="21"/>
          <w:szCs w:val="21"/>
          <w14:textFill>
            <w14:solidFill>
              <w14:schemeClr w14:val="tx1"/>
            </w14:solidFill>
          </w14:textFill>
        </w:rPr>
        <w:t>、投标报价评分</w:t>
      </w:r>
    </w:p>
    <w:p>
      <w:pPr>
        <w:pStyle w:val="2"/>
        <w:rPr>
          <w:rFonts w:hint="eastAsia" w:ascii="微软雅黑" w:hAnsi="微软雅黑" w:eastAsia="微软雅黑" w:cs="微软雅黑"/>
          <w:color w:val="000000" w:themeColor="text1"/>
          <w14:textFill>
            <w14:solidFill>
              <w14:schemeClr w14:val="tx1"/>
            </w14:solidFill>
          </w14:textFill>
        </w:rPr>
      </w:pPr>
    </w:p>
    <w:p>
      <w:pPr>
        <w:spacing w:before="90" w:line="185" w:lineRule="auto"/>
        <w:ind w:left="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2"/>
          <w:sz w:val="21"/>
          <w:szCs w:val="21"/>
          <w14:textFill>
            <w14:solidFill>
              <w14:schemeClr w14:val="tx1"/>
            </w14:solidFill>
          </w14:textFill>
        </w:rPr>
        <w:t>形式评审与响应性评审</w:t>
      </w:r>
    </w:p>
    <w:p>
      <w:pPr>
        <w:spacing w:line="157" w:lineRule="exact"/>
        <w:rPr>
          <w:rFonts w:hint="eastAsia" w:ascii="微软雅黑" w:hAnsi="微软雅黑" w:eastAsia="微软雅黑" w:cs="微软雅黑"/>
          <w:color w:val="000000" w:themeColor="text1"/>
          <w14:textFill>
            <w14:solidFill>
              <w14:schemeClr w14:val="tx1"/>
            </w14:solidFill>
          </w14:textFill>
        </w:rPr>
      </w:pPr>
    </w:p>
    <w:p>
      <w:pPr>
        <w:spacing w:line="170" w:lineRule="exact"/>
        <w:rPr>
          <w:rFonts w:hint="eastAsia" w:ascii="微软雅黑" w:hAnsi="微软雅黑" w:eastAsia="微软雅黑" w:cs="微软雅黑"/>
          <w:color w:val="000000" w:themeColor="text1"/>
          <w14:textFill>
            <w14:solidFill>
              <w14:schemeClr w14:val="tx1"/>
            </w14:solidFill>
          </w14:textFill>
        </w:rPr>
      </w:pPr>
    </w:p>
    <w:tbl>
      <w:tblPr>
        <w:tblStyle w:val="6"/>
        <w:tblW w:w="10184"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27"/>
        <w:gridCol w:w="2542"/>
        <w:gridCol w:w="6615"/>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2" w:hRule="atLeast"/>
        </w:trPr>
        <w:tc>
          <w:tcPr>
            <w:tcW w:w="1027" w:type="dxa"/>
            <w:noWrap w:val="0"/>
            <w:vAlign w:val="top"/>
          </w:tcPr>
          <w:p>
            <w:pPr>
              <w:spacing w:before="209" w:line="185" w:lineRule="auto"/>
              <w:ind w:left="53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14:textFill>
                  <w14:solidFill>
                    <w14:schemeClr w14:val="tx1"/>
                  </w14:solidFill>
                </w14:textFill>
              </w:rPr>
              <w:t>序号</w:t>
            </w:r>
          </w:p>
        </w:tc>
        <w:tc>
          <w:tcPr>
            <w:tcW w:w="2542" w:type="dxa"/>
            <w:noWrap w:val="0"/>
            <w:vAlign w:val="top"/>
          </w:tcPr>
          <w:p>
            <w:pPr>
              <w:spacing w:before="224" w:line="186" w:lineRule="auto"/>
              <w:ind w:left="84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评审因素</w:t>
            </w:r>
          </w:p>
        </w:tc>
        <w:tc>
          <w:tcPr>
            <w:tcW w:w="6615" w:type="dxa"/>
            <w:noWrap w:val="0"/>
            <w:vAlign w:val="top"/>
          </w:tcPr>
          <w:p>
            <w:pPr>
              <w:spacing w:before="224" w:line="186" w:lineRule="auto"/>
              <w:ind w:left="2888"/>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评审标准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576" w:hRule="atLeast"/>
        </w:trPr>
        <w:tc>
          <w:tcPr>
            <w:tcW w:w="1027" w:type="dxa"/>
            <w:noWrap w:val="0"/>
            <w:vAlign w:val="top"/>
          </w:tcPr>
          <w:p>
            <w:pPr>
              <w:spacing w:line="266" w:lineRule="auto"/>
              <w:rPr>
                <w:rFonts w:hint="eastAsia" w:ascii="微软雅黑" w:hAnsi="微软雅黑" w:eastAsia="微软雅黑" w:cs="微软雅黑"/>
                <w:color w:val="000000" w:themeColor="text1"/>
                <w:sz w:val="21"/>
                <w14:textFill>
                  <w14:solidFill>
                    <w14:schemeClr w14:val="tx1"/>
                  </w14:solidFill>
                </w14:textFill>
              </w:rPr>
            </w:pPr>
          </w:p>
          <w:p>
            <w:pPr>
              <w:spacing w:line="266"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4" w:lineRule="auto"/>
              <w:ind w:left="4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2542" w:type="dxa"/>
            <w:noWrap w:val="0"/>
            <w:vAlign w:val="top"/>
          </w:tcPr>
          <w:p>
            <w:pPr>
              <w:spacing w:before="202"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投标文件按照招标文件规</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定的格式、内容填写</w:t>
            </w:r>
            <w:r>
              <w:rPr>
                <w:rFonts w:hint="eastAsia" w:ascii="微软雅黑" w:hAnsi="微软雅黑" w:eastAsia="微软雅黑" w:cs="微软雅黑"/>
                <w:color w:val="000000" w:themeColor="text1"/>
                <w:spacing w:val="-35"/>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3"/>
                <w:sz w:val="21"/>
                <w:szCs w:val="21"/>
                <w14:textFill>
                  <w14:solidFill>
                    <w14:schemeClr w14:val="tx1"/>
                  </w14:solidFill>
                </w14:textFill>
              </w:rPr>
              <w:t>，字</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迹清晰可辨</w:t>
            </w:r>
            <w:r>
              <w:rPr>
                <w:rFonts w:hint="eastAsia" w:ascii="微软雅黑" w:hAnsi="微软雅黑" w:eastAsia="微软雅黑" w:cs="微软雅黑"/>
                <w:color w:val="000000" w:themeColor="text1"/>
                <w:spacing w:val="-29"/>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7"/>
                <w:sz w:val="21"/>
                <w:szCs w:val="21"/>
                <w14:textFill>
                  <w14:solidFill>
                    <w14:schemeClr w14:val="tx1"/>
                  </w14:solidFill>
                </w14:textFill>
              </w:rPr>
              <w:t>，</w:t>
            </w:r>
            <w:r>
              <w:rPr>
                <w:rFonts w:hint="eastAsia" w:ascii="微软雅黑" w:hAnsi="微软雅黑" w:eastAsia="微软雅黑" w:cs="微软雅黑"/>
                <w:color w:val="000000" w:themeColor="text1"/>
                <w:spacing w:val="-28"/>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7"/>
                <w:sz w:val="21"/>
                <w:szCs w:val="21"/>
                <w14:textFill>
                  <w14:solidFill>
                    <w14:schemeClr w14:val="tx1"/>
                  </w14:solidFill>
                </w14:textFill>
              </w:rPr>
              <w:t>内容齐全完</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90"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整</w:t>
            </w:r>
          </w:p>
        </w:tc>
        <w:tc>
          <w:tcPr>
            <w:tcW w:w="6615" w:type="dxa"/>
            <w:noWrap w:val="0"/>
            <w:vAlign w:val="top"/>
          </w:tcPr>
          <w:p>
            <w:pPr>
              <w:spacing w:before="202" w:line="180"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a.投标函按招标文件规定填报了项目名称、标段号、补遗书编号（如有</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0" w:lineRule="auto"/>
              <w:ind w:left="9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)、投标价（包括大写金额和小写金额</w:t>
            </w:r>
            <w:r>
              <w:rPr>
                <w:rFonts w:hint="eastAsia" w:ascii="微软雅黑" w:hAnsi="微软雅黑" w:eastAsia="微软雅黑" w:cs="微软雅黑"/>
                <w:color w:val="000000" w:themeColor="text1"/>
                <w:spacing w:val="-8"/>
                <w:sz w:val="21"/>
                <w:szCs w:val="21"/>
                <w14:textFill>
                  <w14:solidFill>
                    <w14:schemeClr w14:val="tx1"/>
                  </w14:solidFill>
                </w14:textFill>
              </w:rPr>
              <w:t>）</w:t>
            </w:r>
            <w:r>
              <w:rPr>
                <w:rFonts w:hint="eastAsia" w:ascii="微软雅黑" w:hAnsi="微软雅黑" w:eastAsia="微软雅黑" w:cs="微软雅黑"/>
                <w:color w:val="000000" w:themeColor="text1"/>
                <w:spacing w:val="-36"/>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8"/>
                <w:sz w:val="21"/>
                <w:szCs w:val="21"/>
                <w14:textFill>
                  <w14:solidFill>
                    <w14:schemeClr w14:val="tx1"/>
                  </w14:solidFill>
                </w14:textFill>
              </w:rPr>
              <w:t>；</w:t>
            </w:r>
            <w:r>
              <w:rPr>
                <w:rFonts w:hint="eastAsia" w:ascii="微软雅黑" w:hAnsi="微软雅黑" w:eastAsia="微软雅黑" w:cs="微软雅黑"/>
                <w:color w:val="000000" w:themeColor="text1"/>
                <w:spacing w:val="-1"/>
                <w:sz w:val="21"/>
                <w:szCs w:val="21"/>
                <w14:textFill>
                  <w14:solidFill>
                    <w14:schemeClr w14:val="tx1"/>
                  </w14:solidFill>
                </w14:textFill>
              </w:rPr>
              <w:t>b.</w:t>
            </w:r>
            <w:r>
              <w:rPr>
                <w:rFonts w:hint="eastAsia" w:ascii="微软雅黑" w:hAnsi="微软雅黑" w:eastAsia="微软雅黑" w:cs="微软雅黑"/>
                <w:color w:val="000000" w:themeColor="text1"/>
                <w:spacing w:val="-31"/>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14:textFill>
                  <w14:solidFill>
                    <w14:schemeClr w14:val="tx1"/>
                  </w14:solidFill>
                </w14:textFill>
              </w:rPr>
              <w:t>已标价报价清单说明文字</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与招标文件规定一致</w:t>
            </w:r>
            <w:r>
              <w:rPr>
                <w:rFonts w:hint="eastAsia" w:ascii="微软雅黑" w:hAnsi="微软雅黑" w:eastAsia="微软雅黑" w:cs="微软雅黑"/>
                <w:color w:val="000000" w:themeColor="text1"/>
                <w:spacing w:val="-23"/>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，未进行实质性修改和删减；c.投标文件组成齐全</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7"/>
                <w:sz w:val="21"/>
                <w:szCs w:val="21"/>
                <w14:textFill>
                  <w14:solidFill>
                    <w14:schemeClr w14:val="tx1"/>
                  </w14:solidFill>
                </w14:textFill>
              </w:rPr>
              <w:t>完整</w:t>
            </w:r>
            <w:r>
              <w:rPr>
                <w:rFonts w:hint="eastAsia" w:ascii="微软雅黑" w:hAnsi="微软雅黑" w:eastAsia="微软雅黑" w:cs="微软雅黑"/>
                <w:color w:val="000000" w:themeColor="text1"/>
                <w:spacing w:val="-32"/>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7"/>
                <w:sz w:val="21"/>
                <w:szCs w:val="21"/>
                <w14:textFill>
                  <w14:solidFill>
                    <w14:schemeClr w14:val="tx1"/>
                  </w14:solidFill>
                </w14:textFill>
              </w:rPr>
              <w:t>，</w:t>
            </w:r>
            <w:r>
              <w:rPr>
                <w:rFonts w:hint="eastAsia" w:ascii="微软雅黑" w:hAnsi="微软雅黑" w:eastAsia="微软雅黑" w:cs="微软雅黑"/>
                <w:color w:val="000000" w:themeColor="text1"/>
                <w:spacing w:val="-2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7"/>
                <w:sz w:val="21"/>
                <w:szCs w:val="21"/>
                <w14:textFill>
                  <w14:solidFill>
                    <w14:schemeClr w14:val="tx1"/>
                  </w14:solidFill>
                </w14:textFill>
              </w:rPr>
              <w:t>内容均按规定填写</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577" w:hRule="atLeast"/>
        </w:trPr>
        <w:tc>
          <w:tcPr>
            <w:tcW w:w="1027" w:type="dxa"/>
            <w:noWrap w:val="0"/>
            <w:vAlign w:val="top"/>
          </w:tcPr>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7" w:lineRule="auto"/>
              <w:rPr>
                <w:rFonts w:hint="eastAsia" w:ascii="微软雅黑" w:hAnsi="微软雅黑" w:eastAsia="微软雅黑" w:cs="微软雅黑"/>
                <w:color w:val="000000" w:themeColor="text1"/>
                <w:sz w:val="21"/>
                <w14:textFill>
                  <w14:solidFill>
                    <w14:schemeClr w14:val="tx1"/>
                  </w14:solidFill>
                </w14:textFill>
              </w:rPr>
            </w:pPr>
          </w:p>
          <w:p>
            <w:pPr>
              <w:spacing w:line="268"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04" w:lineRule="auto"/>
              <w:ind w:left="46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2542" w:type="dxa"/>
            <w:noWrap w:val="0"/>
            <w:vAlign w:val="top"/>
          </w:tcPr>
          <w:p>
            <w:pPr>
              <w:spacing w:before="206"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投标文件上法定代表人或</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其委托代理人的签字、投</w:t>
            </w:r>
          </w:p>
          <w:p>
            <w:pPr>
              <w:spacing w:line="27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标人的单位章盖章齐全，</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符合招标文件规定</w:t>
            </w:r>
          </w:p>
        </w:tc>
        <w:tc>
          <w:tcPr>
            <w:tcW w:w="6615" w:type="dxa"/>
            <w:noWrap w:val="0"/>
            <w:vAlign w:val="top"/>
          </w:tcPr>
          <w:p>
            <w:pPr>
              <w:spacing w:line="252" w:lineRule="auto"/>
              <w:rPr>
                <w:rFonts w:hint="eastAsia" w:ascii="微软雅黑" w:hAnsi="微软雅黑" w:eastAsia="微软雅黑" w:cs="微软雅黑"/>
                <w:color w:val="000000" w:themeColor="text1"/>
                <w:sz w:val="21"/>
                <w14:textFill>
                  <w14:solidFill>
                    <w14:schemeClr w14:val="tx1"/>
                  </w14:solidFill>
                </w14:textFill>
              </w:rPr>
            </w:pPr>
          </w:p>
          <w:p>
            <w:pPr>
              <w:spacing w:line="252" w:lineRule="auto"/>
              <w:rPr>
                <w:rFonts w:hint="eastAsia" w:ascii="微软雅黑" w:hAnsi="微软雅黑" w:eastAsia="微软雅黑" w:cs="微软雅黑"/>
                <w:color w:val="000000" w:themeColor="text1"/>
                <w:sz w:val="21"/>
                <w14:textFill>
                  <w14:solidFill>
                    <w14:schemeClr w14:val="tx1"/>
                  </w14:solidFill>
                </w14:textFill>
              </w:rPr>
            </w:pPr>
          </w:p>
          <w:p>
            <w:pPr>
              <w:spacing w:line="25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投标文件上法定代表人或其委托代理人的签字、投标人的单位章盖章齐</w:t>
            </w:r>
          </w:p>
          <w:p>
            <w:pPr>
              <w:spacing w:line="27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4"/>
                <w:sz w:val="21"/>
                <w:szCs w:val="21"/>
                <w14:textFill>
                  <w14:solidFill>
                    <w14:schemeClr w14:val="tx1"/>
                  </w14:solidFill>
                </w14:textFill>
              </w:rPr>
              <w:t>全</w:t>
            </w:r>
            <w:r>
              <w:rPr>
                <w:rFonts w:hint="eastAsia" w:ascii="微软雅黑" w:hAnsi="微软雅黑" w:eastAsia="微软雅黑" w:cs="微软雅黑"/>
                <w:color w:val="000000" w:themeColor="text1"/>
                <w:spacing w:val="-33"/>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4"/>
                <w:sz w:val="21"/>
                <w:szCs w:val="21"/>
                <w14:textFill>
                  <w14:solidFill>
                    <w14:schemeClr w14:val="tx1"/>
                  </w14:solidFill>
                </w14:textFill>
              </w:rPr>
              <w:t>，符合招标文件规定</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8" w:hRule="atLeast"/>
        </w:trPr>
        <w:tc>
          <w:tcPr>
            <w:tcW w:w="1027" w:type="dxa"/>
            <w:noWrap w:val="0"/>
            <w:vAlign w:val="top"/>
          </w:tcPr>
          <w:p>
            <w:pPr>
              <w:spacing w:line="43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2542" w:type="dxa"/>
            <w:noWrap w:val="0"/>
            <w:vAlign w:val="top"/>
          </w:tcPr>
          <w:p>
            <w:pPr>
              <w:spacing w:before="208" w:line="185"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投标报价未超过招标文件</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4"/>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设定的最高投标限价</w:t>
            </w:r>
          </w:p>
        </w:tc>
        <w:tc>
          <w:tcPr>
            <w:tcW w:w="6615" w:type="dxa"/>
            <w:noWrap w:val="0"/>
            <w:vAlign w:val="top"/>
          </w:tcPr>
          <w:p>
            <w:pPr>
              <w:spacing w:line="431"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投标报价未超过招标文件设定的最高投标限价</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288" w:hRule="atLeast"/>
        </w:trPr>
        <w:tc>
          <w:tcPr>
            <w:tcW w:w="1027" w:type="dxa"/>
            <w:noWrap w:val="0"/>
            <w:vAlign w:val="top"/>
          </w:tcPr>
          <w:p>
            <w:pPr>
              <w:spacing w:line="433"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04" w:lineRule="auto"/>
              <w:ind w:left="45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2542" w:type="dxa"/>
            <w:noWrap w:val="0"/>
            <w:vAlign w:val="top"/>
          </w:tcPr>
          <w:p>
            <w:pPr>
              <w:spacing w:before="211" w:line="184" w:lineRule="auto"/>
              <w:ind w:left="6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投标报价的大写金额能够</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6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确定具体数值</w:t>
            </w:r>
          </w:p>
        </w:tc>
        <w:tc>
          <w:tcPr>
            <w:tcW w:w="6615" w:type="dxa"/>
            <w:noWrap w:val="0"/>
            <w:vAlign w:val="top"/>
          </w:tcPr>
          <w:p>
            <w:pPr>
              <w:spacing w:line="433"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4"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投标报价的大写金额能够确定具体数值</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484" w:hRule="atLeast"/>
        </w:trPr>
        <w:tc>
          <w:tcPr>
            <w:tcW w:w="1027" w:type="dxa"/>
            <w:noWrap w:val="0"/>
            <w:vAlign w:val="top"/>
          </w:tcPr>
          <w:p>
            <w:pPr>
              <w:spacing w:line="269" w:lineRule="auto"/>
              <w:rPr>
                <w:rFonts w:hint="eastAsia" w:ascii="微软雅黑" w:hAnsi="微软雅黑" w:eastAsia="微软雅黑" w:cs="微软雅黑"/>
                <w:color w:val="000000" w:themeColor="text1"/>
                <w:sz w:val="21"/>
                <w14:textFill>
                  <w14:solidFill>
                    <w14:schemeClr w14:val="tx1"/>
                  </w14:solidFill>
                </w14:textFill>
              </w:rPr>
            </w:pPr>
          </w:p>
          <w:p>
            <w:pPr>
              <w:spacing w:line="269" w:lineRule="auto"/>
              <w:rPr>
                <w:rFonts w:hint="eastAsia" w:ascii="微软雅黑" w:hAnsi="微软雅黑" w:eastAsia="微软雅黑" w:cs="微软雅黑"/>
                <w:color w:val="000000" w:themeColor="text1"/>
                <w:sz w:val="21"/>
                <w14:textFill>
                  <w14:solidFill>
                    <w14:schemeClr w14:val="tx1"/>
                  </w14:solidFill>
                </w14:textFill>
              </w:rPr>
            </w:pPr>
          </w:p>
          <w:p>
            <w:pPr>
              <w:spacing w:line="269" w:lineRule="auto"/>
              <w:rPr>
                <w:rFonts w:hint="eastAsia" w:ascii="微软雅黑" w:hAnsi="微软雅黑" w:eastAsia="微软雅黑" w:cs="微软雅黑"/>
                <w:color w:val="000000" w:themeColor="text1"/>
                <w:sz w:val="21"/>
                <w14:textFill>
                  <w14:solidFill>
                    <w14:schemeClr w14:val="tx1"/>
                  </w14:solidFill>
                </w14:textFill>
              </w:rPr>
            </w:pPr>
          </w:p>
          <w:p>
            <w:pPr>
              <w:spacing w:line="270"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202" w:lineRule="auto"/>
              <w:ind w:left="4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2542" w:type="dxa"/>
            <w:noWrap w:val="0"/>
            <w:vAlign w:val="top"/>
          </w:tcPr>
          <w:p>
            <w:pPr>
              <w:spacing w:before="213" w:line="185" w:lineRule="auto"/>
              <w:ind w:left="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同一投标人未提交两个以</w:t>
            </w:r>
          </w:p>
          <w:p>
            <w:pPr>
              <w:spacing w:line="274"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4"/>
                <w:sz w:val="21"/>
                <w:szCs w:val="21"/>
                <w14:textFill>
                  <w14:solidFill>
                    <w14:schemeClr w14:val="tx1"/>
                  </w14:solidFill>
                </w14:textFill>
              </w:rPr>
              <w:t>上不同的投标报价</w:t>
            </w:r>
            <w:r>
              <w:rPr>
                <w:rFonts w:hint="eastAsia" w:ascii="微软雅黑" w:hAnsi="微软雅黑" w:eastAsia="微软雅黑" w:cs="微软雅黑"/>
                <w:color w:val="000000" w:themeColor="text1"/>
                <w:spacing w:val="-30"/>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4"/>
                <w:sz w:val="21"/>
                <w:szCs w:val="21"/>
                <w14:textFill>
                  <w14:solidFill>
                    <w14:schemeClr w14:val="tx1"/>
                  </w14:solidFill>
                </w14:textFill>
              </w:rPr>
              <w:t>，但招</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6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标文件要求提交备选投标</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9"/>
                <w:sz w:val="21"/>
                <w:szCs w:val="21"/>
                <w14:textFill>
                  <w14:solidFill>
                    <w14:schemeClr w14:val="tx1"/>
                  </w14:solidFill>
                </w14:textFill>
              </w:rPr>
              <w:t>的除外</w:t>
            </w:r>
          </w:p>
        </w:tc>
        <w:tc>
          <w:tcPr>
            <w:tcW w:w="6615" w:type="dxa"/>
            <w:noWrap w:val="0"/>
            <w:vAlign w:val="top"/>
          </w:tcPr>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4" w:lineRule="auto"/>
              <w:rPr>
                <w:rFonts w:hint="eastAsia" w:ascii="微软雅黑" w:hAnsi="微软雅黑" w:eastAsia="微软雅黑" w:cs="微软雅黑"/>
                <w:color w:val="000000" w:themeColor="text1"/>
                <w:sz w:val="21"/>
                <w14:textFill>
                  <w14:solidFill>
                    <w14:schemeClr w14:val="tx1"/>
                  </w14:solidFill>
                </w14:textFill>
              </w:rPr>
            </w:pPr>
          </w:p>
          <w:p>
            <w:pPr>
              <w:spacing w:line="25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88"/>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同一投标人未提交两个以上不同的投标报价</w:t>
            </w:r>
            <w:r>
              <w:rPr>
                <w:rFonts w:hint="eastAsia" w:ascii="微软雅黑" w:hAnsi="微软雅黑" w:eastAsia="微软雅黑" w:cs="微软雅黑"/>
                <w:color w:val="000000" w:themeColor="text1"/>
                <w:spacing w:val="-30"/>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14:textFill>
                  <w14:solidFill>
                    <w14:schemeClr w14:val="tx1"/>
                  </w14:solidFill>
                </w14:textFill>
              </w:rPr>
              <w:t>，但招标文件要求提交备选</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7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3"/>
                <w:sz w:val="21"/>
                <w:szCs w:val="21"/>
                <w14:textFill>
                  <w14:solidFill>
                    <w14:schemeClr w14:val="tx1"/>
                  </w14:solidFill>
                </w14:textFill>
              </w:rPr>
              <w:t>投标的除外</w:t>
            </w:r>
          </w:p>
        </w:tc>
      </w:tr>
    </w:tbl>
    <w:p>
      <w:pPr>
        <w:spacing w:line="24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3"/>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0"/>
          <w:sz w:val="21"/>
          <w:szCs w:val="21"/>
          <w14:textFill>
            <w14:solidFill>
              <w14:schemeClr w14:val="tx1"/>
            </w14:solidFill>
          </w14:textFill>
        </w:rPr>
        <w:t>投标报价评分</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outlineLvl w:val="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1"/>
          <w:sz w:val="21"/>
          <w:szCs w:val="21"/>
          <w14:textFill>
            <w14:solidFill>
              <w14:schemeClr w14:val="tx1"/>
            </w14:solidFill>
          </w14:textFill>
        </w:rPr>
        <w:t>评标基准价确定方式：</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0" w:lineRule="auto"/>
        <w:ind w:left="489"/>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5"/>
          <w:sz w:val="21"/>
          <w:szCs w:val="21"/>
          <w:u w:val="single" w:color="333333"/>
          <w14:textFill>
            <w14:solidFill>
              <w14:schemeClr w14:val="tx1"/>
            </w14:solidFill>
          </w14:textFill>
        </w:rPr>
        <w:t>方法A（平均值法）</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360" w:lineRule="auto"/>
        <w:ind w:left="48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评标基准价说明：</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评标基准价的计算：在开标现场，招标人将当场计算并宣布评标基准价（四</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舍五入，保</w:t>
      </w:r>
      <w:r>
        <w:rPr>
          <w:rFonts w:hint="eastAsia" w:ascii="微软雅黑" w:hAnsi="微软雅黑" w:eastAsia="微软雅黑" w:cs="微软雅黑"/>
          <w:color w:val="000000" w:themeColor="text1"/>
          <w:spacing w:val="-3"/>
          <w:sz w:val="21"/>
          <w:szCs w:val="21"/>
          <w:u w:val="single" w:color="333333"/>
          <w14:textFill>
            <w14:solidFill>
              <w14:schemeClr w14:val="tx1"/>
            </w14:solidFill>
          </w14:textFill>
        </w:rPr>
        <w:t>留整数）。（1）评标价的确定：评标价</w:t>
      </w:r>
      <w:r>
        <w:rPr>
          <w:rFonts w:hint="eastAsia" w:ascii="微软雅黑" w:hAnsi="微软雅黑" w:eastAsia="微软雅黑" w:cs="微软雅黑"/>
          <w:color w:val="000000" w:themeColor="text1"/>
          <w:spacing w:val="-33"/>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3"/>
          <w:sz w:val="21"/>
          <w:szCs w:val="21"/>
          <w:u w:val="single" w:color="333333"/>
          <w14:textFill>
            <w14:solidFill>
              <w14:schemeClr w14:val="tx1"/>
            </w14:solidFill>
          </w14:textFill>
        </w:rPr>
        <w:t>＝投标函文字报价（2）评标价平均值的计算（四舍五入，</w:t>
      </w:r>
      <w:r>
        <w:rPr>
          <w:rFonts w:hint="eastAsia" w:ascii="微软雅黑" w:hAnsi="微软雅黑" w:eastAsia="微软雅黑" w:cs="微软雅黑"/>
          <w:color w:val="000000" w:themeColor="text1"/>
          <w:spacing w:val="-4"/>
          <w:sz w:val="21"/>
          <w:szCs w:val="21"/>
          <w:u w:val="single" w:color="333333"/>
          <w14:textFill>
            <w14:solidFill>
              <w14:schemeClr w14:val="tx1"/>
            </w14:solidFill>
          </w14:textFill>
        </w:rPr>
        <w:t>保留整</w:t>
      </w:r>
      <w:r>
        <w:rPr>
          <w:rFonts w:hint="eastAsia" w:ascii="微软雅黑" w:hAnsi="微软雅黑" w:eastAsia="微软雅黑" w:cs="微软雅黑"/>
          <w:color w:val="000000" w:themeColor="text1"/>
          <w:sz w:val="21"/>
          <w:szCs w:val="21"/>
          <w:u w:val="single" w:color="333333"/>
          <w14:textFill>
            <w14:solidFill>
              <w14:schemeClr w14:val="tx1"/>
            </w14:solidFill>
          </w14:textFill>
        </w:rPr>
        <w:t>数</w:t>
      </w:r>
      <w:r>
        <w:rPr>
          <w:rFonts w:hint="eastAsia" w:ascii="微软雅黑" w:hAnsi="微软雅黑" w:eastAsia="微软雅黑" w:cs="微软雅黑"/>
          <w:color w:val="000000" w:themeColor="text1"/>
          <w:spacing w:val="-16"/>
          <w:sz w:val="21"/>
          <w:szCs w:val="21"/>
          <w:u w:val="single" w:color="333333"/>
          <w14:textFill>
            <w14:solidFill>
              <w14:schemeClr w14:val="tx1"/>
            </w14:solidFill>
          </w14:textFill>
        </w:rPr>
        <w:t>）：</w:t>
      </w:r>
      <w:r>
        <w:rPr>
          <w:rFonts w:hint="eastAsia" w:ascii="微软雅黑" w:hAnsi="微软雅黑" w:eastAsia="微软雅黑" w:cs="微软雅黑"/>
          <w:color w:val="000000" w:themeColor="text1"/>
          <w:spacing w:val="-35"/>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color="333333"/>
          <w14:textFill>
            <w14:solidFill>
              <w14:schemeClr w14:val="tx1"/>
            </w14:solidFill>
          </w14:textFill>
        </w:rPr>
        <w:t>除按第二章“投标人须知</w:t>
      </w:r>
      <w:r>
        <w:rPr>
          <w:rFonts w:hint="eastAsia" w:ascii="微软雅黑" w:hAnsi="微软雅黑" w:eastAsia="微软雅黑" w:cs="微软雅黑"/>
          <w:color w:val="000000" w:themeColor="text1"/>
          <w:spacing w:val="-35"/>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color="333333"/>
          <w14:textFill>
            <w14:solidFill>
              <w14:schemeClr w14:val="tx1"/>
            </w14:solidFill>
          </w14:textFill>
        </w:rPr>
        <w:t>”第5.2.4项规定开标现场</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被宣布为不进入评标基准价计算的投标报价之外</w:t>
      </w:r>
      <w:r>
        <w:rPr>
          <w:rFonts w:hint="eastAsia" w:ascii="微软雅黑" w:hAnsi="微软雅黑" w:eastAsia="微软雅黑" w:cs="微软雅黑"/>
          <w:color w:val="000000" w:themeColor="text1"/>
          <w:spacing w:val="-36"/>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，所</w:t>
      </w:r>
      <w:r>
        <w:rPr>
          <w:rFonts w:hint="eastAsia" w:ascii="微软雅黑" w:hAnsi="微软雅黑" w:eastAsia="微软雅黑" w:cs="微软雅黑"/>
          <w:color w:val="000000" w:themeColor="text1"/>
          <w:sz w:val="21"/>
          <w:szCs w:val="21"/>
          <w:u w:val="single" w:color="333333"/>
          <w14:textFill>
            <w14:solidFill>
              <w14:schemeClr w14:val="tx1"/>
            </w14:solidFill>
          </w14:textFill>
        </w:rPr>
        <w:t>有投标人的评标价去掉一个最高值和一个最低值后的算术平均值即为评标价平均值（</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如果参与评标价平均值计</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算的有效投标人少于5家时</w:t>
      </w:r>
      <w:r>
        <w:rPr>
          <w:rFonts w:hint="eastAsia" w:ascii="微软雅黑" w:hAnsi="微软雅黑" w:eastAsia="微软雅黑" w:cs="微软雅黑"/>
          <w:color w:val="000000" w:themeColor="text1"/>
          <w:spacing w:val="-36"/>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，则计算评标价平均值时不去掉最高值和最低值）</w:t>
      </w:r>
      <w:r>
        <w:rPr>
          <w:rFonts w:hint="eastAsia" w:ascii="微软雅黑" w:hAnsi="微软雅黑" w:eastAsia="微软雅黑" w:cs="微软雅黑"/>
          <w:color w:val="000000" w:themeColor="text1"/>
          <w:spacing w:val="-34"/>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。（3）评标基准价的</w:t>
      </w:r>
      <w:r>
        <w:rPr>
          <w:rFonts w:hint="eastAsia" w:ascii="微软雅黑" w:hAnsi="微软雅黑" w:eastAsia="微软雅黑" w:cs="微软雅黑"/>
          <w:color w:val="000000" w:themeColor="text1"/>
          <w:spacing w:val="-3"/>
          <w:sz w:val="21"/>
          <w:szCs w:val="21"/>
          <w:u w:val="single" w:color="333333"/>
          <w14:textFill>
            <w14:solidFill>
              <w14:schemeClr w14:val="tx1"/>
            </w14:solidFill>
          </w14:textFill>
        </w:rPr>
        <w:t>确定：将评</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标价平均值直接作为评标基准价</w:t>
      </w:r>
      <w:r>
        <w:rPr>
          <w:rFonts w:hint="eastAsia" w:ascii="微软雅黑" w:hAnsi="微软雅黑" w:eastAsia="微软雅黑" w:cs="微软雅黑"/>
          <w:color w:val="000000" w:themeColor="text1"/>
          <w:spacing w:val="-28"/>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。在评标过程中</w:t>
      </w:r>
      <w:r>
        <w:rPr>
          <w:rFonts w:hint="eastAsia" w:ascii="微软雅黑" w:hAnsi="微软雅黑" w:eastAsia="微软雅黑" w:cs="微软雅黑"/>
          <w:color w:val="000000" w:themeColor="text1"/>
          <w:spacing w:val="-37"/>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，评标委员会应对招标人计算的评标基准价进行复核</w:t>
      </w:r>
      <w:r>
        <w:rPr>
          <w:rFonts w:hint="eastAsia" w:ascii="微软雅黑" w:hAnsi="微软雅黑" w:eastAsia="微软雅黑" w:cs="微软雅黑"/>
          <w:color w:val="000000" w:themeColor="text1"/>
          <w:spacing w:val="-37"/>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，存在计</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算错误的应予以修正；存在开标一览表投标报价与投标函投标报价不一致的</w:t>
      </w:r>
      <w:r>
        <w:rPr>
          <w:rFonts w:hint="eastAsia" w:ascii="微软雅黑" w:hAnsi="微软雅黑" w:eastAsia="微软雅黑" w:cs="微软雅黑"/>
          <w:color w:val="000000" w:themeColor="text1"/>
          <w:spacing w:val="-26"/>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，应以投标函投标报价大写金额为</w:t>
      </w:r>
      <w:r>
        <w:rPr>
          <w:rFonts w:hint="eastAsia" w:ascii="微软雅黑" w:hAnsi="微软雅黑" w:eastAsia="微软雅黑" w:cs="微软雅黑"/>
          <w:color w:val="000000" w:themeColor="text1"/>
          <w:sz w:val="21"/>
          <w:szCs w:val="21"/>
          <w:u w:val="single" w:color="333333"/>
          <w14:textFill>
            <w14:solidFill>
              <w14:schemeClr w14:val="tx1"/>
            </w14:solidFill>
          </w14:textFill>
        </w:rPr>
        <w:t>准修正评标基准价（其中未在投标函上填写投标总价的或投标函投标报价超出招标</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人公布的最高投标限价的或投标函投标报价大写金额无法确定具体数值的</w:t>
      </w:r>
      <w:r>
        <w:rPr>
          <w:rFonts w:hint="eastAsia" w:ascii="微软雅黑" w:hAnsi="微软雅黑" w:eastAsia="微软雅黑" w:cs="微软雅黑"/>
          <w:color w:val="000000" w:themeColor="text1"/>
          <w:spacing w:val="-35"/>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，应剔除对应投标人及其投标报价后修正评标基准价</w:t>
      </w:r>
      <w:r>
        <w:rPr>
          <w:rFonts w:hint="eastAsia" w:ascii="微软雅黑" w:hAnsi="微软雅黑" w:eastAsia="微软雅黑" w:cs="微软雅黑"/>
          <w:color w:val="000000" w:themeColor="text1"/>
          <w:spacing w:val="-10"/>
          <w:sz w:val="21"/>
          <w:szCs w:val="21"/>
          <w:u w:val="single" w:color="333333"/>
          <w14:textFill>
            <w14:solidFill>
              <w14:schemeClr w14:val="tx1"/>
            </w14:solidFill>
          </w14:textFill>
        </w:rPr>
        <w:t>）</w:t>
      </w:r>
      <w:r>
        <w:rPr>
          <w:rFonts w:hint="eastAsia" w:ascii="微软雅黑" w:hAnsi="微软雅黑" w:eastAsia="微软雅黑" w:cs="微软雅黑"/>
          <w:color w:val="000000" w:themeColor="text1"/>
          <w:spacing w:val="-36"/>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10"/>
          <w:sz w:val="21"/>
          <w:szCs w:val="21"/>
          <w:u w:val="single" w:color="333333"/>
          <w14:textFill>
            <w14:solidFill>
              <w14:schemeClr w14:val="tx1"/>
            </w14:solidFill>
          </w14:textFill>
        </w:rPr>
        <w:t>；</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存在以低于成本报价竞标而被否决的</w:t>
      </w:r>
      <w:r>
        <w:rPr>
          <w:rFonts w:hint="eastAsia" w:ascii="微软雅黑" w:hAnsi="微软雅黑" w:eastAsia="微软雅黑" w:cs="微软雅黑"/>
          <w:color w:val="000000" w:themeColor="text1"/>
          <w:spacing w:val="-37"/>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u w:val="single" w:color="333333"/>
          <w14:textFill>
            <w14:solidFill>
              <w14:schemeClr w14:val="tx1"/>
            </w14:solidFill>
          </w14:textFill>
        </w:rPr>
        <w:t>，应剔除对应投标人及其投标报价后修正评</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标基准价</w:t>
      </w:r>
      <w:r>
        <w:rPr>
          <w:rFonts w:hint="eastAsia" w:ascii="微软雅黑" w:hAnsi="微软雅黑" w:eastAsia="微软雅黑" w:cs="微软雅黑"/>
          <w:color w:val="000000" w:themeColor="text1"/>
          <w:spacing w:val="-33"/>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。上述情况应在评标报告中作出说明</w:t>
      </w:r>
      <w:r>
        <w:rPr>
          <w:rFonts w:hint="eastAsia" w:ascii="微软雅黑" w:hAnsi="微软雅黑" w:eastAsia="微软雅黑" w:cs="微软雅黑"/>
          <w:color w:val="000000" w:themeColor="text1"/>
          <w:spacing w:val="-33"/>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。除此之外</w:t>
      </w:r>
      <w:r>
        <w:rPr>
          <w:rFonts w:hint="eastAsia" w:ascii="微软雅黑" w:hAnsi="微软雅黑" w:eastAsia="微软雅黑" w:cs="微软雅黑"/>
          <w:color w:val="000000" w:themeColor="text1"/>
          <w:spacing w:val="-37"/>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u w:val="single" w:color="333333"/>
          <w14:textFill>
            <w14:solidFill>
              <w14:schemeClr w14:val="tx1"/>
            </w14:solidFill>
          </w14:textFill>
        </w:rPr>
        <w:t>，评标基准价在整个评标期间保</w:t>
      </w:r>
      <w:r>
        <w:rPr>
          <w:rFonts w:hint="eastAsia" w:ascii="微软雅黑" w:hAnsi="微软雅黑" w:eastAsia="微软雅黑" w:cs="微软雅黑"/>
          <w:color w:val="000000" w:themeColor="text1"/>
          <w:spacing w:val="-3"/>
          <w:sz w:val="21"/>
          <w:szCs w:val="21"/>
          <w:u w:val="single" w:color="333333"/>
          <w14:textFill>
            <w14:solidFill>
              <w14:schemeClr w14:val="tx1"/>
            </w14:solidFill>
          </w14:textFill>
        </w:rPr>
        <w:t>持不变</w:t>
      </w:r>
      <w:r>
        <w:rPr>
          <w:rFonts w:hint="eastAsia" w:ascii="微软雅黑" w:hAnsi="微软雅黑" w:eastAsia="微软雅黑" w:cs="微软雅黑"/>
          <w:color w:val="000000" w:themeColor="text1"/>
          <w:spacing w:val="-37"/>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3"/>
          <w:sz w:val="21"/>
          <w:szCs w:val="21"/>
          <w:u w:val="single" w:color="333333"/>
          <w14:textFill>
            <w14:solidFill>
              <w14:schemeClr w14:val="tx1"/>
            </w14:solidFill>
          </w14:textFill>
        </w:rPr>
        <w:t>，不随任何因素发生变化</w:t>
      </w:r>
      <w:r>
        <w:rPr>
          <w:rFonts w:hint="eastAsia" w:ascii="微软雅黑" w:hAnsi="微软雅黑" w:eastAsia="微软雅黑" w:cs="微软雅黑"/>
          <w:color w:val="000000" w:themeColor="text1"/>
          <w:spacing w:val="-33"/>
          <w:sz w:val="21"/>
          <w:szCs w:val="21"/>
          <w:u w:val="single" w:color="333333"/>
          <w14:textFill>
            <w14:solidFill>
              <w14:schemeClr w14:val="tx1"/>
            </w14:solidFill>
          </w14:textFill>
        </w:rPr>
        <w:t xml:space="preserve"> </w:t>
      </w:r>
      <w:r>
        <w:rPr>
          <w:rFonts w:hint="eastAsia" w:ascii="微软雅黑" w:hAnsi="微软雅黑" w:eastAsia="微软雅黑" w:cs="微软雅黑"/>
          <w:color w:val="000000" w:themeColor="text1"/>
          <w:spacing w:val="-3"/>
          <w:sz w:val="21"/>
          <w:szCs w:val="21"/>
          <w:u w:val="single" w:color="333333"/>
          <w14:textFill>
            <w14:solidFill>
              <w14:schemeClr w14:val="tx1"/>
            </w14:solidFill>
          </w14:textFill>
        </w:rPr>
        <w:t>。</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5" w:lineRule="auto"/>
        <w:outlineLvl w:val="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9"/>
          <w:sz w:val="21"/>
          <w:szCs w:val="21"/>
          <w14:textFill>
            <w14:solidFill>
              <w14:schemeClr w14:val="tx1"/>
            </w14:solidFill>
          </w14:textFill>
        </w:rPr>
        <w:t>评标价偏差率：</w:t>
      </w:r>
    </w:p>
    <w:p>
      <w:pPr>
        <w:spacing w:line="276"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0" w:lineRule="auto"/>
        <w:ind w:left="488"/>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偏差率=100%×(投标人评标价Di-评标基准价P)</w:t>
      </w:r>
      <w:r>
        <w:rPr>
          <w:rFonts w:hint="eastAsia" w:ascii="微软雅黑" w:hAnsi="微软雅黑" w:eastAsia="微软雅黑" w:cs="微软雅黑"/>
          <w:color w:val="000000" w:themeColor="text1"/>
          <w:spacing w:val="-3"/>
          <w:sz w:val="21"/>
          <w:szCs w:val="21"/>
          <w14:textFill>
            <w14:solidFill>
              <w14:schemeClr w14:val="tx1"/>
            </w14:solidFill>
          </w14:textFill>
        </w:rPr>
        <w:t>/评标基准价P</w:t>
      </w:r>
    </w:p>
    <w:p>
      <w:pPr>
        <w:spacing w:line="282"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outlineLvl w:val="2"/>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8"/>
          <w:sz w:val="21"/>
          <w:szCs w:val="21"/>
          <w14:textFill>
            <w14:solidFill>
              <w14:schemeClr w14:val="tx1"/>
            </w14:solidFill>
          </w14:textFill>
        </w:rPr>
        <w:t>评标价得分：</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5" w:lineRule="auto"/>
        <w:ind w:left="487"/>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评标价得分计算公式</w:t>
      </w:r>
      <w:r>
        <w:rPr>
          <w:rFonts w:hint="eastAsia" w:ascii="微软雅黑" w:hAnsi="微软雅黑" w:eastAsia="微软雅黑" w:cs="微软雅黑"/>
          <w:color w:val="000000" w:themeColor="text1"/>
          <w:spacing w:val="-17"/>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185" w:lineRule="auto"/>
        <w:ind w:left="49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如果投标人的评标价&gt;评标基准价</w:t>
      </w:r>
      <w:r>
        <w:rPr>
          <w:rFonts w:hint="eastAsia" w:ascii="微软雅黑" w:hAnsi="微软雅黑" w:eastAsia="微软雅黑" w:cs="微软雅黑"/>
          <w:color w:val="000000" w:themeColor="text1"/>
          <w:spacing w:val="-27"/>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，则评标价得分=F-偏差率×100×E1;E1=</w:t>
      </w:r>
      <w:r>
        <w:rPr>
          <w:rFonts w:hint="eastAsia" w:ascii="微软雅黑" w:hAnsi="微软雅黑" w:eastAsia="微软雅黑" w:cs="微软雅黑"/>
          <w:color w:val="000000" w:themeColor="text1"/>
          <w:sz w:val="21"/>
          <w:szCs w:val="21"/>
          <w:u w:val="single" w:color="auto"/>
          <w14:textFill>
            <w14:solidFill>
              <w14:schemeClr w14:val="tx1"/>
            </w14:solidFill>
          </w14:textFill>
        </w:rPr>
        <w:t>0.2</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0" w:line="185" w:lineRule="auto"/>
        <w:ind w:left="491"/>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1"/>
          <w:sz w:val="21"/>
          <w:szCs w:val="21"/>
          <w14:textFill>
            <w14:solidFill>
              <w14:schemeClr w14:val="tx1"/>
            </w14:solidFill>
          </w14:textFill>
        </w:rPr>
        <w:t>如果投标人的评标价≤评标基准价</w:t>
      </w:r>
      <w:r>
        <w:rPr>
          <w:rFonts w:hint="eastAsia" w:ascii="微软雅黑" w:hAnsi="微软雅黑" w:eastAsia="微软雅黑" w:cs="微软雅黑"/>
          <w:color w:val="000000" w:themeColor="text1"/>
          <w:spacing w:val="-37"/>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14:textFill>
            <w14:solidFill>
              <w14:schemeClr w14:val="tx1"/>
            </w14:solidFill>
          </w14:textFill>
        </w:rPr>
        <w:t>，则评标价得分=</w:t>
      </w:r>
      <w:r>
        <w:rPr>
          <w:rFonts w:hint="eastAsia" w:ascii="微软雅黑" w:hAnsi="微软雅黑" w:eastAsia="微软雅黑" w:cs="微软雅黑"/>
          <w:color w:val="000000" w:themeColor="text1"/>
          <w:spacing w:val="48"/>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1"/>
          <w:sz w:val="21"/>
          <w:szCs w:val="21"/>
          <w14:textFill>
            <w14:solidFill>
              <w14:schemeClr w14:val="tx1"/>
            </w14:solidFill>
          </w14:textFill>
        </w:rPr>
        <w:t>F</w:t>
      </w:r>
      <w:r>
        <w:rPr>
          <w:rFonts w:hint="eastAsia" w:ascii="微软雅黑" w:hAnsi="微软雅黑" w:eastAsia="微软雅黑" w:cs="微软雅黑"/>
          <w:color w:val="000000" w:themeColor="text1"/>
          <w:spacing w:val="-2"/>
          <w:sz w:val="21"/>
          <w:szCs w:val="21"/>
          <w14:textFill>
            <w14:solidFill>
              <w14:schemeClr w14:val="tx1"/>
            </w14:solidFill>
          </w14:textFill>
        </w:rPr>
        <w:t>+偏差率×100×E2;E2=</w:t>
      </w:r>
      <w:r>
        <w:rPr>
          <w:rFonts w:hint="eastAsia" w:ascii="微软雅黑" w:hAnsi="微软雅黑" w:eastAsia="微软雅黑" w:cs="微软雅黑"/>
          <w:color w:val="000000" w:themeColor="text1"/>
          <w:spacing w:val="-2"/>
          <w:sz w:val="21"/>
          <w:szCs w:val="21"/>
          <w:u w:val="single" w:color="auto"/>
          <w14:textFill>
            <w14:solidFill>
              <w14:schemeClr w14:val="tx1"/>
            </w14:solidFill>
          </w14:textFill>
        </w:rPr>
        <w:t>0.1</w:t>
      </w:r>
    </w:p>
    <w:p>
      <w:pPr>
        <w:spacing w:line="275"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360" w:lineRule="auto"/>
        <w:ind w:firstLine="412"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pacing w:val="-2"/>
          <w:sz w:val="21"/>
          <w:szCs w:val="21"/>
          <w14:textFill>
            <w14:solidFill>
              <w14:schemeClr w14:val="tx1"/>
            </w14:solidFill>
          </w14:textFill>
        </w:rPr>
        <w:t>其中F是评标价所占的权重分值</w:t>
      </w:r>
      <w:r>
        <w:rPr>
          <w:rFonts w:hint="eastAsia" w:ascii="微软雅黑" w:hAnsi="微软雅黑" w:eastAsia="微软雅黑" w:cs="微软雅黑"/>
          <w:color w:val="000000" w:themeColor="text1"/>
          <w:spacing w:val="-36"/>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2"/>
          <w:sz w:val="21"/>
          <w:szCs w:val="21"/>
          <w14:textFill>
            <w14:solidFill>
              <w14:schemeClr w14:val="tx1"/>
            </w14:solidFill>
          </w14:textFill>
        </w:rPr>
        <w:t>，E1是评标价每高于评标基准价一个百分点的扣分值、E2是评</w:t>
      </w:r>
      <w:r>
        <w:rPr>
          <w:rFonts w:hint="eastAsia" w:ascii="微软雅黑" w:hAnsi="微软雅黑" w:eastAsia="微软雅黑" w:cs="微软雅黑"/>
          <w:color w:val="000000" w:themeColor="text1"/>
          <w:spacing w:val="-3"/>
          <w:sz w:val="21"/>
          <w:szCs w:val="21"/>
          <w14:textFill>
            <w14:solidFill>
              <w14:schemeClr w14:val="tx1"/>
            </w14:solidFill>
          </w14:textFill>
        </w:rPr>
        <w:t>标价每低于评标基准价一个百分点的扣分值</w:t>
      </w:r>
      <w:r>
        <w:rPr>
          <w:rFonts w:hint="eastAsia" w:ascii="微软雅黑" w:hAnsi="微软雅黑" w:eastAsia="微软雅黑" w:cs="微软雅黑"/>
          <w:color w:val="000000" w:themeColor="text1"/>
          <w:spacing w:val="-32"/>
          <w:sz w:val="21"/>
          <w:szCs w:val="21"/>
          <w14:textFill>
            <w14:solidFill>
              <w14:schemeClr w14:val="tx1"/>
            </w14:solidFill>
          </w14:textFill>
        </w:rPr>
        <w:t xml:space="preserve"> </w:t>
      </w:r>
      <w:r>
        <w:rPr>
          <w:rFonts w:hint="eastAsia" w:ascii="微软雅黑" w:hAnsi="微软雅黑" w:eastAsia="微软雅黑" w:cs="微软雅黑"/>
          <w:color w:val="000000" w:themeColor="text1"/>
          <w:spacing w:val="-3"/>
          <w:sz w:val="21"/>
          <w:szCs w:val="21"/>
          <w14:textFill>
            <w14:solidFill>
              <w14:schemeClr w14:val="tx1"/>
            </w14:solidFill>
          </w14:textFill>
        </w:rPr>
        <w:t>。招标人可依据招标项目具体特点和实际需要设置E1、E2，但E1应大于E2。</w:t>
      </w:r>
    </w:p>
    <w:p>
      <w:pPr>
        <w:spacing w:line="360" w:lineRule="auto"/>
        <w:rPr>
          <w:rFonts w:hint="eastAsia" w:ascii="微软雅黑" w:hAnsi="微软雅黑" w:eastAsia="微软雅黑" w:cs="微软雅黑"/>
          <w:color w:val="000000" w:themeColor="text1"/>
          <w:sz w:val="21"/>
          <w:szCs w:val="21"/>
          <w14:textFill>
            <w14:solidFill>
              <w14:schemeClr w14:val="tx1"/>
            </w14:solidFill>
          </w14:textFill>
        </w:rPr>
        <w:sectPr>
          <w:headerReference r:id="rId4" w:type="default"/>
          <w:pgSz w:w="11905" w:h="16838"/>
          <w:pgMar w:top="1134" w:right="1134" w:bottom="1134" w:left="1134" w:header="0" w:footer="0" w:gutter="0"/>
          <w:pgBorders>
            <w:top w:val="none" w:sz="0" w:space="0"/>
            <w:left w:val="none" w:sz="0" w:space="0"/>
            <w:bottom w:val="none" w:sz="0" w:space="0"/>
            <w:right w:val="none" w:sz="0" w:space="0"/>
          </w:pgBorders>
          <w:cols w:space="720" w:num="1"/>
          <w:rtlGutter w:val="0"/>
          <w:docGrid w:linePitch="0" w:charSpace="0"/>
        </w:sectPr>
      </w:pPr>
    </w:p>
    <w:p>
      <w:pPr>
        <w:spacing w:before="91" w:line="220" w:lineRule="auto"/>
        <w:ind w:left="3052"/>
        <w:outlineLvl w:val="1"/>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pacing w:val="-4"/>
          <w:sz w:val="28"/>
          <w:szCs w:val="28"/>
          <w14:textFill>
            <w14:solidFill>
              <w14:schemeClr w14:val="tx1"/>
            </w14:solidFill>
          </w14:textFill>
        </w:rPr>
        <w:t>评标办法其它内容</w:t>
      </w:r>
    </w:p>
    <w:p>
      <w:pPr>
        <w:spacing w:line="457" w:lineRule="auto"/>
        <w:rPr>
          <w:rFonts w:hint="eastAsia" w:ascii="微软雅黑" w:hAnsi="微软雅黑" w:eastAsia="微软雅黑" w:cs="微软雅黑"/>
          <w:color w:val="000000" w:themeColor="text1"/>
          <w:sz w:val="21"/>
          <w14:textFill>
            <w14:solidFill>
              <w14:schemeClr w14:val="tx1"/>
            </w14:solidFill>
          </w14:textFill>
        </w:rPr>
      </w:pPr>
    </w:p>
    <w:p>
      <w:pPr>
        <w:spacing w:before="91" w:line="220" w:lineRule="auto"/>
        <w:ind w:left="32"/>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pacing w:val="-4"/>
          <w:sz w:val="28"/>
          <w:szCs w:val="28"/>
          <w14:textFill>
            <w14:solidFill>
              <w14:schemeClr w14:val="tx1"/>
            </w14:solidFill>
          </w14:textFill>
        </w:rPr>
        <w:t>1.  评标方法</w:t>
      </w:r>
    </w:p>
    <w:p>
      <w:pPr>
        <w:spacing w:before="231" w:line="361" w:lineRule="auto"/>
        <w:ind w:left="22" w:right="120" w:firstLine="481"/>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本次评标采用综合评估法。评标委员会对满足招标文件实质</w:t>
      </w:r>
      <w:r>
        <w:rPr>
          <w:rFonts w:hint="eastAsia" w:ascii="微软雅黑" w:hAnsi="微软雅黑" w:eastAsia="微软雅黑" w:cs="微软雅黑"/>
          <w:color w:val="000000" w:themeColor="text1"/>
          <w:spacing w:val="-4"/>
          <w:sz w:val="24"/>
          <w:szCs w:val="24"/>
          <w14:textFill>
            <w14:solidFill>
              <w14:schemeClr w14:val="tx1"/>
            </w14:solidFill>
          </w14:textFill>
        </w:rPr>
        <w:t>性要求的投标文</w:t>
      </w:r>
      <w:r>
        <w:rPr>
          <w:rFonts w:hint="eastAsia" w:ascii="微软雅黑" w:hAnsi="微软雅黑" w:eastAsia="微软雅黑" w:cs="微软雅黑"/>
          <w:color w:val="000000" w:themeColor="text1"/>
          <w:spacing w:val="-1"/>
          <w:sz w:val="24"/>
          <w:szCs w:val="24"/>
          <w14:textFill>
            <w14:solidFill>
              <w14:schemeClr w14:val="tx1"/>
            </w14:solidFill>
          </w14:textFill>
        </w:rPr>
        <w:t>件，按照本章第</w:t>
      </w:r>
      <w:r>
        <w:rPr>
          <w:rFonts w:hint="eastAsia" w:ascii="微软雅黑" w:hAnsi="微软雅黑" w:eastAsia="微软雅黑" w:cs="微软雅黑"/>
          <w:color w:val="000000" w:themeColor="text1"/>
          <w:spacing w:val="-55"/>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1"/>
          <w:sz w:val="24"/>
          <w:szCs w:val="24"/>
          <w14:textFill>
            <w14:solidFill>
              <w14:schemeClr w14:val="tx1"/>
            </w14:solidFill>
          </w14:textFill>
        </w:rPr>
        <w:t>2.2款规定的评分标准进行打分，并</w:t>
      </w:r>
      <w:r>
        <w:rPr>
          <w:rFonts w:hint="eastAsia" w:ascii="微软雅黑" w:hAnsi="微软雅黑" w:eastAsia="微软雅黑" w:cs="微软雅黑"/>
          <w:color w:val="000000" w:themeColor="text1"/>
          <w:spacing w:val="-2"/>
          <w:sz w:val="24"/>
          <w:szCs w:val="24"/>
          <w14:textFill>
            <w14:solidFill>
              <w14:schemeClr w14:val="tx1"/>
            </w14:solidFill>
          </w14:textFill>
        </w:rPr>
        <w:t>按得分由高到低顺序推荐中</w:t>
      </w:r>
      <w:r>
        <w:rPr>
          <w:rFonts w:hint="eastAsia" w:ascii="微软雅黑" w:hAnsi="微软雅黑" w:eastAsia="微软雅黑" w:cs="微软雅黑"/>
          <w:color w:val="000000" w:themeColor="text1"/>
          <w:spacing w:val="3"/>
          <w:sz w:val="24"/>
          <w:szCs w:val="24"/>
          <w14:textFill>
            <w14:solidFill>
              <w14:schemeClr w14:val="tx1"/>
            </w14:solidFill>
          </w14:textFill>
        </w:rPr>
        <w:t>标候选人，或根据招标人授权直接确定中标人，但投标报价低于其成本</w:t>
      </w:r>
      <w:r>
        <w:rPr>
          <w:rFonts w:hint="eastAsia" w:ascii="微软雅黑" w:hAnsi="微软雅黑" w:eastAsia="微软雅黑" w:cs="微软雅黑"/>
          <w:color w:val="000000" w:themeColor="text1"/>
          <w:spacing w:val="2"/>
          <w:sz w:val="24"/>
          <w:szCs w:val="24"/>
          <w14:textFill>
            <w14:solidFill>
              <w14:schemeClr w14:val="tx1"/>
            </w14:solidFill>
          </w14:textFill>
        </w:rPr>
        <w:t>的除外。</w:t>
      </w:r>
      <w:r>
        <w:rPr>
          <w:rFonts w:hint="eastAsia" w:ascii="微软雅黑" w:hAnsi="微软雅黑" w:eastAsia="微软雅黑" w:cs="微软雅黑"/>
          <w:color w:val="000000" w:themeColor="text1"/>
          <w:spacing w:val="-3"/>
          <w:sz w:val="24"/>
          <w:szCs w:val="24"/>
          <w14:textFill>
            <w14:solidFill>
              <w14:schemeClr w14:val="tx1"/>
            </w14:solidFill>
          </w14:textFill>
        </w:rPr>
        <w:t>综合评分相等时，评标委员会应按照评标办法前附表规定的优先次序推荐中标候</w:t>
      </w:r>
      <w:r>
        <w:rPr>
          <w:rFonts w:hint="eastAsia" w:ascii="微软雅黑" w:hAnsi="微软雅黑" w:eastAsia="微软雅黑" w:cs="微软雅黑"/>
          <w:color w:val="000000" w:themeColor="text1"/>
          <w:spacing w:val="-5"/>
          <w:sz w:val="24"/>
          <w:szCs w:val="24"/>
          <w14:textFill>
            <w14:solidFill>
              <w14:schemeClr w14:val="tx1"/>
            </w14:solidFill>
          </w14:textFill>
        </w:rPr>
        <w:t>选人或确定中标人。</w:t>
      </w:r>
    </w:p>
    <w:p>
      <w:pPr>
        <w:spacing w:before="52" w:line="220" w:lineRule="auto"/>
        <w:ind w:left="20"/>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pacing w:val="-2"/>
          <w:sz w:val="28"/>
          <w:szCs w:val="28"/>
          <w14:textFill>
            <w14:solidFill>
              <w14:schemeClr w14:val="tx1"/>
            </w14:solidFill>
          </w14:textFill>
        </w:rPr>
        <w:t>2.  评审标准</w:t>
      </w:r>
    </w:p>
    <w:p>
      <w:pPr>
        <w:spacing w:before="231" w:line="220" w:lineRule="auto"/>
        <w:ind w:left="1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2.1  初步评审标准</w:t>
      </w:r>
    </w:p>
    <w:p>
      <w:pPr>
        <w:spacing w:before="182" w:line="219" w:lineRule="auto"/>
        <w:ind w:left="49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2.1.1  形式评审标准：见评标办法前附表。</w:t>
      </w:r>
    </w:p>
    <w:p>
      <w:pPr>
        <w:spacing w:before="183" w:line="219" w:lineRule="auto"/>
        <w:ind w:left="49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2.1.2  资格评审标准：见评标办法前附表。（适用于未进行资格预审的）</w:t>
      </w:r>
    </w:p>
    <w:p>
      <w:pPr>
        <w:spacing w:before="183" w:line="290" w:lineRule="auto"/>
        <w:ind w:left="29" w:firstLine="46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2.1.2  资格评审标准：见资格预审文件第三章“资格审查办法”详细审查标准。</w:t>
      </w:r>
      <w:r>
        <w:rPr>
          <w:rFonts w:hint="eastAsia" w:ascii="微软雅黑" w:hAnsi="微软雅黑" w:eastAsia="微软雅黑" w:cs="微软雅黑"/>
          <w:color w:val="000000" w:themeColor="text1"/>
          <w:spacing w:val="-3"/>
          <w:sz w:val="24"/>
          <w:szCs w:val="24"/>
          <w14:textFill>
            <w14:solidFill>
              <w14:schemeClr w14:val="tx1"/>
            </w14:solidFill>
          </w14:textFill>
        </w:rPr>
        <w:t>（适用于已进行资格预审的）</w:t>
      </w:r>
    </w:p>
    <w:p>
      <w:pPr>
        <w:spacing w:before="182" w:line="219" w:lineRule="auto"/>
        <w:ind w:left="49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2.1.3  响应性评审标准：见评标办法前附表。</w:t>
      </w:r>
    </w:p>
    <w:p>
      <w:pPr>
        <w:spacing w:before="183" w:line="220" w:lineRule="auto"/>
        <w:ind w:left="1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2.2  分值构成与评分标准</w:t>
      </w:r>
    </w:p>
    <w:p>
      <w:pPr>
        <w:spacing w:before="182" w:line="220" w:lineRule="auto"/>
        <w:ind w:left="49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2.2.1  分值构成</w:t>
      </w:r>
    </w:p>
    <w:p>
      <w:pPr>
        <w:spacing w:before="182" w:line="219"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（1）技术建议书：见评标办法前附表；</w:t>
      </w:r>
    </w:p>
    <w:p>
      <w:pPr>
        <w:spacing w:before="184" w:line="219"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5"/>
          <w:sz w:val="24"/>
          <w:szCs w:val="24"/>
          <w14:textFill>
            <w14:solidFill>
              <w14:schemeClr w14:val="tx1"/>
            </w14:solidFill>
          </w14:textFill>
        </w:rPr>
        <w:t>（2）主要人员：见评标办法前附表；</w:t>
      </w:r>
    </w:p>
    <w:p>
      <w:pPr>
        <w:spacing w:before="183" w:line="218"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5"/>
          <w:sz w:val="24"/>
          <w:szCs w:val="24"/>
          <w14:textFill>
            <w14:solidFill>
              <w14:schemeClr w14:val="tx1"/>
            </w14:solidFill>
          </w14:textFill>
        </w:rPr>
        <w:t>（3）评标价：见评标办法前附表；</w:t>
      </w:r>
    </w:p>
    <w:p>
      <w:pPr>
        <w:spacing w:before="185" w:line="219"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（4）其他评分因素：见评标办法前附表。</w:t>
      </w:r>
    </w:p>
    <w:p>
      <w:pPr>
        <w:spacing w:before="183" w:line="218" w:lineRule="auto"/>
        <w:ind w:left="49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2.2.2  评标基准价计算</w:t>
      </w:r>
    </w:p>
    <w:p>
      <w:pPr>
        <w:spacing w:before="185" w:line="218"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评标基准价计算方法：见评标办法前附表。</w:t>
      </w:r>
    </w:p>
    <w:p>
      <w:pPr>
        <w:spacing w:before="184" w:line="218" w:lineRule="auto"/>
        <w:ind w:left="49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2.2.3  评标价的偏差率计算</w:t>
      </w:r>
    </w:p>
    <w:p>
      <w:pPr>
        <w:spacing w:before="185" w:line="218"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评标价的偏差率计算公式：见评标办法前附表。</w:t>
      </w:r>
    </w:p>
    <w:p>
      <w:pPr>
        <w:spacing w:before="185" w:line="220" w:lineRule="auto"/>
        <w:ind w:left="49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2.2.4  评分标准</w:t>
      </w:r>
    </w:p>
    <w:p>
      <w:pPr>
        <w:spacing w:before="181" w:line="360"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（1）技术建议书评分标准：见评标办法前附表；</w:t>
      </w:r>
    </w:p>
    <w:p>
      <w:pPr>
        <w:spacing w:before="184" w:line="360"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（2）主要人员评分标准：见评标办法前附表；</w:t>
      </w:r>
    </w:p>
    <w:p>
      <w:pPr>
        <w:spacing w:before="78" w:line="360"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（3）评标价评分标准：见评标办法前附表；</w:t>
      </w:r>
    </w:p>
    <w:p>
      <w:pPr>
        <w:spacing w:before="184" w:line="360"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（4）其他因素评分标准：见评标办法前附表。</w:t>
      </w:r>
    </w:p>
    <w:p>
      <w:pPr>
        <w:spacing w:before="242" w:line="220" w:lineRule="auto"/>
        <w:ind w:left="18"/>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pacing w:val="-2"/>
          <w:sz w:val="28"/>
          <w:szCs w:val="28"/>
          <w14:textFill>
            <w14:solidFill>
              <w14:schemeClr w14:val="tx1"/>
            </w14:solidFill>
          </w14:textFill>
        </w:rPr>
        <w:t>3.  评标程序</w:t>
      </w:r>
    </w:p>
    <w:p>
      <w:pPr>
        <w:spacing w:before="231"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3.1  第一个信封初步评审</w:t>
      </w:r>
    </w:p>
    <w:p>
      <w:pPr>
        <w:spacing w:before="182" w:line="219" w:lineRule="auto"/>
        <w:ind w:left="50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3.1.1  评标委员会可以要求投标人提交第二章“投标人须知”</w:t>
      </w:r>
      <w:r>
        <w:rPr>
          <w:rFonts w:hint="eastAsia" w:ascii="微软雅黑" w:hAnsi="微软雅黑" w:eastAsia="微软雅黑" w:cs="微软雅黑"/>
          <w:color w:val="000000" w:themeColor="text1"/>
          <w:spacing w:val="1"/>
          <w:sz w:val="24"/>
          <w:szCs w:val="24"/>
          <w14:textFill>
            <w14:solidFill>
              <w14:schemeClr w14:val="tx1"/>
            </w14:solidFill>
          </w14:textFill>
        </w:rPr>
        <w:t>第</w:t>
      </w:r>
      <w:r>
        <w:rPr>
          <w:rFonts w:hint="eastAsia" w:ascii="微软雅黑" w:hAnsi="微软雅黑" w:eastAsia="微软雅黑" w:cs="微软雅黑"/>
          <w:color w:val="000000" w:themeColor="text1"/>
          <w:spacing w:val="-47"/>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1"/>
          <w:sz w:val="24"/>
          <w:szCs w:val="24"/>
          <w14:textFill>
            <w14:solidFill>
              <w14:schemeClr w14:val="tx1"/>
            </w14:solidFill>
          </w14:textFill>
        </w:rPr>
        <w:t>3.5.1</w:t>
      </w:r>
      <w:r>
        <w:rPr>
          <w:rFonts w:hint="eastAsia" w:ascii="微软雅黑" w:hAnsi="微软雅黑" w:eastAsia="微软雅黑" w:cs="微软雅黑"/>
          <w:color w:val="000000" w:themeColor="text1"/>
          <w:spacing w:val="17"/>
          <w:w w:val="101"/>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1"/>
          <w:sz w:val="24"/>
          <w:szCs w:val="24"/>
          <w14:textFill>
            <w14:solidFill>
              <w14:schemeClr w14:val="tx1"/>
            </w14:solidFill>
          </w14:textFill>
        </w:rPr>
        <w:t>项至第</w:t>
      </w:r>
    </w:p>
    <w:p>
      <w:pPr>
        <w:spacing w:before="183" w:line="313" w:lineRule="auto"/>
        <w:ind w:left="23" w:right="223" w:firstLine="468"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3.5.5 项规定的有关证明和证件的原件，以便核验。评标委员会依据本章第</w:t>
      </w:r>
      <w:r>
        <w:rPr>
          <w:rFonts w:hint="eastAsia" w:ascii="微软雅黑" w:hAnsi="微软雅黑" w:eastAsia="微软雅黑" w:cs="微软雅黑"/>
          <w:color w:val="000000" w:themeColor="text1"/>
          <w:spacing w:val="-42"/>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3"/>
          <w:sz w:val="24"/>
          <w:szCs w:val="24"/>
          <w14:textFill>
            <w14:solidFill>
              <w14:schemeClr w14:val="tx1"/>
            </w14:solidFill>
          </w14:textFill>
        </w:rPr>
        <w:t>2.1款规定的标准对投标文件第一个信封（商务及技术文件）进行初步评审。有一项不</w:t>
      </w:r>
      <w:r>
        <w:rPr>
          <w:rFonts w:hint="eastAsia" w:ascii="微软雅黑" w:hAnsi="微软雅黑" w:eastAsia="微软雅黑" w:cs="微软雅黑"/>
          <w:color w:val="000000" w:themeColor="text1"/>
          <w:spacing w:val="-5"/>
          <w:sz w:val="24"/>
          <w:szCs w:val="24"/>
          <w14:textFill>
            <w14:solidFill>
              <w14:schemeClr w14:val="tx1"/>
            </w14:solidFill>
          </w14:textFill>
        </w:rPr>
        <w:t>符合评审标准的，评标委员会应否决其投标。（适用于未进行资格预审的）</w:t>
      </w:r>
    </w:p>
    <w:p>
      <w:pPr>
        <w:spacing w:before="182" w:line="332" w:lineRule="auto"/>
        <w:ind w:left="22" w:right="223" w:firstLine="481"/>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3.1.1  评标委员会依据本章第</w:t>
      </w:r>
      <w:r>
        <w:rPr>
          <w:rFonts w:hint="eastAsia" w:ascii="微软雅黑" w:hAnsi="微软雅黑" w:eastAsia="微软雅黑" w:cs="微软雅黑"/>
          <w:color w:val="000000" w:themeColor="text1"/>
          <w:spacing w:val="-5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2.1.1 项、第</w:t>
      </w:r>
      <w:r>
        <w:rPr>
          <w:rFonts w:hint="eastAsia" w:ascii="微软雅黑" w:hAnsi="微软雅黑" w:eastAsia="微软雅黑" w:cs="微软雅黑"/>
          <w:color w:val="000000" w:themeColor="text1"/>
          <w:spacing w:val="-54"/>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2.1.3 项规定的评审标准对投标文 </w:t>
      </w:r>
      <w:r>
        <w:rPr>
          <w:rFonts w:hint="eastAsia" w:ascii="微软雅黑" w:hAnsi="微软雅黑" w:eastAsia="微软雅黑" w:cs="微软雅黑"/>
          <w:color w:val="000000" w:themeColor="text1"/>
          <w:spacing w:val="-3"/>
          <w:sz w:val="24"/>
          <w:szCs w:val="24"/>
          <w14:textFill>
            <w14:solidFill>
              <w14:schemeClr w14:val="tx1"/>
            </w14:solidFill>
          </w14:textFill>
        </w:rPr>
        <w:t>件第一个信封（商务及技术文件）进行初步评审。有一项不符合评审标准的，评</w:t>
      </w:r>
      <w:r>
        <w:rPr>
          <w:rFonts w:hint="eastAsia" w:ascii="微软雅黑" w:hAnsi="微软雅黑" w:eastAsia="微软雅黑" w:cs="微软雅黑"/>
          <w:color w:val="000000" w:themeColor="text1"/>
          <w:spacing w:val="-5"/>
          <w:sz w:val="24"/>
          <w:szCs w:val="24"/>
          <w14:textFill>
            <w14:solidFill>
              <w14:schemeClr w14:val="tx1"/>
            </w14:solidFill>
          </w14:textFill>
        </w:rPr>
        <w:t>标委员会应否决其投标。当投标人资格预审申请文件的内容发生重大变化时，</w:t>
      </w:r>
      <w:r>
        <w:rPr>
          <w:rFonts w:hint="eastAsia" w:ascii="微软雅黑" w:hAnsi="微软雅黑" w:eastAsia="微软雅黑" w:cs="微软雅黑"/>
          <w:color w:val="000000" w:themeColor="text1"/>
          <w:spacing w:val="-49"/>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5"/>
          <w:sz w:val="24"/>
          <w:szCs w:val="24"/>
          <w14:textFill>
            <w14:solidFill>
              <w14:schemeClr w14:val="tx1"/>
            </w14:solidFill>
          </w14:textFill>
        </w:rPr>
        <w:t>评</w:t>
      </w:r>
      <w:r>
        <w:rPr>
          <w:rFonts w:hint="eastAsia" w:ascii="微软雅黑" w:hAnsi="微软雅黑" w:eastAsia="微软雅黑" w:cs="微软雅黑"/>
          <w:color w:val="000000" w:themeColor="text1"/>
          <w:sz w:val="24"/>
          <w:szCs w:val="24"/>
          <w14:textFill>
            <w14:solidFill>
              <w14:schemeClr w14:val="tx1"/>
            </w14:solidFill>
          </w14:textFill>
        </w:rPr>
        <w:t>标委员会依据本章第</w:t>
      </w:r>
      <w:r>
        <w:rPr>
          <w:rFonts w:hint="eastAsia" w:ascii="微软雅黑" w:hAnsi="微软雅黑" w:eastAsia="微软雅黑" w:cs="微软雅黑"/>
          <w:color w:val="000000" w:themeColor="text1"/>
          <w:spacing w:val="-5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2.1.2项规定的标准对其更新资料</w:t>
      </w:r>
      <w:r>
        <w:rPr>
          <w:rFonts w:hint="eastAsia" w:ascii="微软雅黑" w:hAnsi="微软雅黑" w:eastAsia="微软雅黑" w:cs="微软雅黑"/>
          <w:color w:val="000000" w:themeColor="text1"/>
          <w:spacing w:val="-1"/>
          <w:sz w:val="24"/>
          <w:szCs w:val="24"/>
          <w14:textFill>
            <w14:solidFill>
              <w14:schemeClr w14:val="tx1"/>
            </w14:solidFill>
          </w14:textFill>
        </w:rPr>
        <w:t>进行评审。（适用于已进</w:t>
      </w:r>
      <w:r>
        <w:rPr>
          <w:rFonts w:hint="eastAsia" w:ascii="微软雅黑" w:hAnsi="微软雅黑" w:eastAsia="微软雅黑" w:cs="微软雅黑"/>
          <w:color w:val="000000" w:themeColor="text1"/>
          <w:spacing w:val="-3"/>
          <w:sz w:val="24"/>
          <w:szCs w:val="24"/>
          <w14:textFill>
            <w14:solidFill>
              <w14:schemeClr w14:val="tx1"/>
            </w14:solidFill>
          </w14:textFill>
        </w:rPr>
        <w:t>行资格预审的）</w:t>
      </w:r>
    </w:p>
    <w:p>
      <w:pPr>
        <w:spacing w:before="182"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3.2  第一个信封详细评审</w:t>
      </w:r>
    </w:p>
    <w:p>
      <w:pPr>
        <w:spacing w:before="183" w:line="360" w:lineRule="auto"/>
        <w:ind w:left="44" w:right="223" w:firstLine="45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3.2.1  评标委员会按本章第</w:t>
      </w:r>
      <w:r>
        <w:rPr>
          <w:rFonts w:hint="eastAsia" w:ascii="微软雅黑" w:hAnsi="微软雅黑" w:eastAsia="微软雅黑" w:cs="微软雅黑"/>
          <w:color w:val="000000" w:themeColor="text1"/>
          <w:spacing w:val="-52"/>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14:textFill>
            <w14:solidFill>
              <w14:schemeClr w14:val="tx1"/>
            </w14:solidFill>
          </w14:textFill>
        </w:rPr>
        <w:t>2.2 款规定的量化因素</w:t>
      </w:r>
      <w:r>
        <w:rPr>
          <w:rFonts w:hint="eastAsia" w:ascii="微软雅黑" w:hAnsi="微软雅黑" w:eastAsia="微软雅黑" w:cs="微软雅黑"/>
          <w:color w:val="000000" w:themeColor="text1"/>
          <w:spacing w:val="1"/>
          <w:sz w:val="24"/>
          <w:szCs w:val="24"/>
          <w14:textFill>
            <w14:solidFill>
              <w14:schemeClr w14:val="tx1"/>
            </w14:solidFill>
          </w14:textFill>
        </w:rPr>
        <w:t>和分值进行打分，并计算</w:t>
      </w:r>
      <w:r>
        <w:rPr>
          <w:rFonts w:hint="eastAsia" w:ascii="微软雅黑" w:hAnsi="微软雅黑" w:eastAsia="微软雅黑" w:cs="微软雅黑"/>
          <w:color w:val="000000" w:themeColor="text1"/>
          <w:spacing w:val="-5"/>
          <w:sz w:val="24"/>
          <w:szCs w:val="24"/>
          <w14:textFill>
            <w14:solidFill>
              <w14:schemeClr w14:val="tx1"/>
            </w14:solidFill>
          </w14:textFill>
        </w:rPr>
        <w:t>出各投标人的商务和技术得分。</w:t>
      </w:r>
    </w:p>
    <w:p>
      <w:pPr>
        <w:spacing w:before="2" w:line="289" w:lineRule="auto"/>
        <w:ind w:left="25" w:right="234" w:firstLine="484"/>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（1）按本章第</w:t>
      </w:r>
      <w:r>
        <w:rPr>
          <w:rFonts w:hint="eastAsia" w:ascii="微软雅黑" w:hAnsi="微软雅黑" w:eastAsia="微软雅黑" w:cs="微软雅黑"/>
          <w:color w:val="000000" w:themeColor="text1"/>
          <w:spacing w:val="-45"/>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14:textFill>
            <w14:solidFill>
              <w14:schemeClr w14:val="tx1"/>
            </w14:solidFill>
          </w14:textFill>
        </w:rPr>
        <w:t>2.2.4 项（1）</w:t>
      </w:r>
      <w:r>
        <w:rPr>
          <w:rFonts w:hint="eastAsia" w:ascii="微软雅黑" w:hAnsi="微软雅黑" w:eastAsia="微软雅黑" w:cs="微软雅黑"/>
          <w:color w:val="000000" w:themeColor="text1"/>
          <w:spacing w:val="-63"/>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14:textFill>
            <w14:solidFill>
              <w14:schemeClr w14:val="tx1"/>
            </w14:solidFill>
          </w14:textFill>
        </w:rPr>
        <w:t>目规定的评审因素和分值对技术建议书部分计</w:t>
      </w: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3"/>
          <w:sz w:val="24"/>
          <w:szCs w:val="24"/>
          <w14:textFill>
            <w14:solidFill>
              <w14:schemeClr w14:val="tx1"/>
            </w14:solidFill>
          </w14:textFill>
        </w:rPr>
        <w:t>算出得分</w:t>
      </w:r>
      <w:r>
        <w:rPr>
          <w:rFonts w:hint="eastAsia" w:ascii="微软雅黑" w:hAnsi="微软雅黑" w:eastAsia="微软雅黑" w:cs="微软雅黑"/>
          <w:color w:val="000000" w:themeColor="text1"/>
          <w:spacing w:val="-55"/>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3"/>
          <w:sz w:val="24"/>
          <w:szCs w:val="24"/>
          <w14:textFill>
            <w14:solidFill>
              <w14:schemeClr w14:val="tx1"/>
            </w14:solidFill>
          </w14:textFill>
        </w:rPr>
        <w:t>A；</w:t>
      </w:r>
    </w:p>
    <w:p>
      <w:pPr>
        <w:spacing w:before="182" w:line="290" w:lineRule="auto"/>
        <w:ind w:left="44" w:right="235" w:firstLine="46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（2）按本章第</w:t>
      </w:r>
      <w:r>
        <w:rPr>
          <w:rFonts w:hint="eastAsia" w:ascii="微软雅黑" w:hAnsi="微软雅黑" w:eastAsia="微软雅黑" w:cs="微软雅黑"/>
          <w:color w:val="000000" w:themeColor="text1"/>
          <w:spacing w:val="-46"/>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14:textFill>
            <w14:solidFill>
              <w14:schemeClr w14:val="tx1"/>
            </w14:solidFill>
          </w14:textFill>
        </w:rPr>
        <w:t>2.2.4 项（2）</w:t>
      </w:r>
      <w:r>
        <w:rPr>
          <w:rFonts w:hint="eastAsia" w:ascii="微软雅黑" w:hAnsi="微软雅黑" w:eastAsia="微软雅黑" w:cs="微软雅黑"/>
          <w:color w:val="000000" w:themeColor="text1"/>
          <w:spacing w:val="-63"/>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14:textFill>
            <w14:solidFill>
              <w14:schemeClr w14:val="tx1"/>
            </w14:solidFill>
          </w14:textFill>
        </w:rPr>
        <w:t>目规定的评审因素和分值对主要人员部分计算</w:t>
      </w: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7"/>
          <w:sz w:val="24"/>
          <w:szCs w:val="24"/>
          <w14:textFill>
            <w14:solidFill>
              <w14:schemeClr w14:val="tx1"/>
            </w14:solidFill>
          </w14:textFill>
        </w:rPr>
        <w:t>出得分</w:t>
      </w:r>
      <w:r>
        <w:rPr>
          <w:rFonts w:hint="eastAsia" w:ascii="微软雅黑" w:hAnsi="微软雅黑" w:eastAsia="微软雅黑" w:cs="微软雅黑"/>
          <w:color w:val="000000" w:themeColor="text1"/>
          <w:spacing w:val="-56"/>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7"/>
          <w:sz w:val="24"/>
          <w:szCs w:val="24"/>
          <w14:textFill>
            <w14:solidFill>
              <w14:schemeClr w14:val="tx1"/>
            </w14:solidFill>
          </w14:textFill>
        </w:rPr>
        <w:t>B；</w:t>
      </w:r>
    </w:p>
    <w:p>
      <w:pPr>
        <w:spacing w:before="183" w:line="290" w:lineRule="auto"/>
        <w:ind w:left="26" w:right="233" w:firstLine="48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（3）按本章第</w:t>
      </w:r>
      <w:r>
        <w:rPr>
          <w:rFonts w:hint="eastAsia" w:ascii="微软雅黑" w:hAnsi="微软雅黑" w:eastAsia="微软雅黑" w:cs="微软雅黑"/>
          <w:color w:val="000000" w:themeColor="text1"/>
          <w:spacing w:val="-44"/>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14:textFill>
            <w14:solidFill>
              <w14:schemeClr w14:val="tx1"/>
            </w14:solidFill>
          </w14:textFill>
        </w:rPr>
        <w:t>2.2.4 项（4）</w:t>
      </w:r>
      <w:r>
        <w:rPr>
          <w:rFonts w:hint="eastAsia" w:ascii="微软雅黑" w:hAnsi="微软雅黑" w:eastAsia="微软雅黑" w:cs="微软雅黑"/>
          <w:color w:val="000000" w:themeColor="text1"/>
          <w:spacing w:val="-63"/>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14:textFill>
            <w14:solidFill>
              <w14:schemeClr w14:val="tx1"/>
            </w14:solidFill>
          </w14:textFill>
        </w:rPr>
        <w:t>目规定的评审因素和分值对其他部分计算出得</w:t>
      </w: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6"/>
          <w:sz w:val="24"/>
          <w:szCs w:val="24"/>
          <w14:textFill>
            <w14:solidFill>
              <w14:schemeClr w14:val="tx1"/>
            </w14:solidFill>
          </w14:textFill>
        </w:rPr>
        <w:t>分</w:t>
      </w:r>
      <w:r>
        <w:rPr>
          <w:rFonts w:hint="eastAsia" w:ascii="微软雅黑" w:hAnsi="微软雅黑" w:eastAsia="微软雅黑" w:cs="微软雅黑"/>
          <w:color w:val="000000" w:themeColor="text1"/>
          <w:spacing w:val="-56"/>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6"/>
          <w:sz w:val="24"/>
          <w:szCs w:val="24"/>
          <w14:textFill>
            <w14:solidFill>
              <w14:schemeClr w14:val="tx1"/>
            </w14:solidFill>
          </w14:textFill>
        </w:rPr>
        <w:t>D。</w:t>
      </w:r>
    </w:p>
    <w:p>
      <w:pPr>
        <w:spacing w:before="183" w:line="290" w:lineRule="auto"/>
        <w:ind w:left="23" w:right="224" w:firstLine="48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3.2.2  投标人的商务和技术得分分值计算保留小数点后两位，小数点后第三</w:t>
      </w:r>
      <w:r>
        <w:rPr>
          <w:rFonts w:hint="eastAsia" w:ascii="微软雅黑" w:hAnsi="微软雅黑" w:eastAsia="微软雅黑" w:cs="微软雅黑"/>
          <w:color w:val="000000" w:themeColor="text1"/>
          <w:spacing w:val="-2"/>
          <w:sz w:val="24"/>
          <w:szCs w:val="24"/>
          <w14:textFill>
            <w14:solidFill>
              <w14:schemeClr w14:val="tx1"/>
            </w14:solidFill>
          </w14:textFill>
        </w:rPr>
        <w:t>位“四舍五入”。</w:t>
      </w:r>
    </w:p>
    <w:p>
      <w:pPr>
        <w:spacing w:before="180" w:line="220" w:lineRule="auto"/>
        <w:ind w:left="50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3.2.3  投标人的商务和技术得分=A+B+D。</w:t>
      </w:r>
    </w:p>
    <w:p>
      <w:pPr>
        <w:spacing w:before="182"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3.3  第二个信封开标</w:t>
      </w:r>
    </w:p>
    <w:p>
      <w:pPr>
        <w:spacing w:before="182" w:line="361" w:lineRule="auto"/>
        <w:ind w:left="22" w:firstLine="480"/>
        <w:jc w:val="both"/>
        <w:rPr>
          <w:rFonts w:hint="eastAsia" w:ascii="微软雅黑" w:hAnsi="微软雅黑" w:eastAsia="微软雅黑" w:cs="微软雅黑"/>
          <w:color w:val="000000" w:themeColor="text1"/>
          <w:spacing w:val="-2"/>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第一个信封（商务及技术文件）评审结束后，招标人将按照第二</w:t>
      </w:r>
      <w:r>
        <w:rPr>
          <w:rFonts w:hint="eastAsia" w:ascii="微软雅黑" w:hAnsi="微软雅黑" w:eastAsia="微软雅黑" w:cs="微软雅黑"/>
          <w:color w:val="000000" w:themeColor="text1"/>
          <w:sz w:val="24"/>
          <w:szCs w:val="24"/>
          <w14:textFill>
            <w14:solidFill>
              <w14:schemeClr w14:val="tx1"/>
            </w14:solidFill>
          </w14:textFill>
        </w:rPr>
        <w:t>章“投标人</w:t>
      </w:r>
      <w:r>
        <w:rPr>
          <w:rFonts w:hint="eastAsia" w:ascii="微软雅黑" w:hAnsi="微软雅黑" w:eastAsia="微软雅黑" w:cs="微软雅黑"/>
          <w:color w:val="000000" w:themeColor="text1"/>
          <w:spacing w:val="2"/>
          <w:sz w:val="24"/>
          <w:szCs w:val="24"/>
          <w14:textFill>
            <w14:solidFill>
              <w14:schemeClr w14:val="tx1"/>
            </w14:solidFill>
          </w14:textFill>
        </w:rPr>
        <w:t>须知”第</w:t>
      </w:r>
      <w:r>
        <w:rPr>
          <w:rFonts w:hint="eastAsia" w:ascii="微软雅黑" w:hAnsi="微软雅黑" w:eastAsia="微软雅黑" w:cs="微软雅黑"/>
          <w:color w:val="000000" w:themeColor="text1"/>
          <w:spacing w:val="-46"/>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14:textFill>
            <w14:solidFill>
              <w14:schemeClr w14:val="tx1"/>
            </w14:solidFill>
          </w14:textFill>
        </w:rPr>
        <w:t>5.1 款规定的时间和地点对通过投</w:t>
      </w:r>
      <w:r>
        <w:rPr>
          <w:rFonts w:hint="eastAsia" w:ascii="微软雅黑" w:hAnsi="微软雅黑" w:eastAsia="微软雅黑" w:cs="微软雅黑"/>
          <w:color w:val="000000" w:themeColor="text1"/>
          <w:spacing w:val="1"/>
          <w:sz w:val="24"/>
          <w:szCs w:val="24"/>
          <w14:textFill>
            <w14:solidFill>
              <w14:schemeClr w14:val="tx1"/>
            </w14:solidFill>
          </w14:textFill>
        </w:rPr>
        <w:t>标文件第一个信封（商务及技术文件）</w:t>
      </w:r>
      <w:r>
        <w:rPr>
          <w:rFonts w:hint="eastAsia" w:ascii="微软雅黑" w:hAnsi="微软雅黑" w:eastAsia="微软雅黑" w:cs="微软雅黑"/>
          <w:color w:val="000000" w:themeColor="text1"/>
          <w:spacing w:val="-2"/>
          <w:sz w:val="24"/>
          <w:szCs w:val="24"/>
          <w14:textFill>
            <w14:solidFill>
              <w14:schemeClr w14:val="tx1"/>
            </w14:solidFill>
          </w14:textFill>
        </w:rPr>
        <w:t>评审的投标文件第二个信封（报价文件）进行开标。</w:t>
      </w:r>
    </w:p>
    <w:p>
      <w:pPr>
        <w:spacing w:before="78"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3.4  第二个信封初步评审</w:t>
      </w:r>
    </w:p>
    <w:p>
      <w:pPr>
        <w:spacing w:before="182" w:line="313" w:lineRule="auto"/>
        <w:ind w:left="22" w:right="186" w:firstLine="481"/>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3.4.1  评标委员会依据本章第</w:t>
      </w:r>
      <w:r>
        <w:rPr>
          <w:rFonts w:hint="eastAsia" w:ascii="微软雅黑" w:hAnsi="微软雅黑" w:eastAsia="微软雅黑" w:cs="微软雅黑"/>
          <w:color w:val="000000" w:themeColor="text1"/>
          <w:spacing w:val="-5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2.1.1 项、第</w:t>
      </w:r>
      <w:r>
        <w:rPr>
          <w:rFonts w:hint="eastAsia" w:ascii="微软雅黑" w:hAnsi="微软雅黑" w:eastAsia="微软雅黑" w:cs="微软雅黑"/>
          <w:color w:val="000000" w:themeColor="text1"/>
          <w:spacing w:val="-54"/>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2.1.3 项规定的评审标准对投标文</w:t>
      </w:r>
      <w:r>
        <w:rPr>
          <w:rFonts w:hint="eastAsia" w:ascii="微软雅黑" w:hAnsi="微软雅黑" w:eastAsia="微软雅黑" w:cs="微软雅黑"/>
          <w:color w:val="000000" w:themeColor="text1"/>
          <w:spacing w:val="-3"/>
          <w:sz w:val="24"/>
          <w:szCs w:val="24"/>
          <w14:textFill>
            <w14:solidFill>
              <w14:schemeClr w14:val="tx1"/>
            </w14:solidFill>
          </w14:textFill>
        </w:rPr>
        <w:t>件第二个信封（报价文件）进行初步评审。有一项不符合评审标准的，评标委员</w:t>
      </w:r>
      <w:r>
        <w:rPr>
          <w:rFonts w:hint="eastAsia" w:ascii="微软雅黑" w:hAnsi="微软雅黑" w:eastAsia="微软雅黑" w:cs="微软雅黑"/>
          <w:color w:val="000000" w:themeColor="text1"/>
          <w:spacing w:val="-5"/>
          <w:sz w:val="24"/>
          <w:szCs w:val="24"/>
          <w14:textFill>
            <w14:solidFill>
              <w14:schemeClr w14:val="tx1"/>
            </w14:solidFill>
          </w14:textFill>
        </w:rPr>
        <w:t>会应否决其投标。</w:t>
      </w:r>
    </w:p>
    <w:p>
      <w:pPr>
        <w:spacing w:before="183" w:line="313" w:lineRule="auto"/>
        <w:ind w:left="23" w:firstLine="48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3.4.2  投标报价有算术错误的，评标委员会按以下原则对投标报价进行修正，</w:t>
      </w:r>
      <w:r>
        <w:rPr>
          <w:rFonts w:hint="eastAsia" w:ascii="微软雅黑" w:hAnsi="微软雅黑" w:eastAsia="微软雅黑" w:cs="微软雅黑"/>
          <w:color w:val="000000" w:themeColor="text1"/>
          <w:spacing w:val="-5"/>
          <w:sz w:val="24"/>
          <w:szCs w:val="24"/>
          <w14:textFill>
            <w14:solidFill>
              <w14:schemeClr w14:val="tx1"/>
            </w14:solidFill>
          </w14:textFill>
        </w:rPr>
        <w:t>修正的价格经投标人书面确认后具有约束力。投标人不接受修正价格的，</w:t>
      </w:r>
      <w:r>
        <w:rPr>
          <w:rFonts w:hint="eastAsia" w:ascii="微软雅黑" w:hAnsi="微软雅黑" w:eastAsia="微软雅黑" w:cs="微软雅黑"/>
          <w:color w:val="000000" w:themeColor="text1"/>
          <w:spacing w:val="-50"/>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5"/>
          <w:sz w:val="24"/>
          <w:szCs w:val="24"/>
          <w14:textFill>
            <w14:solidFill>
              <w14:schemeClr w14:val="tx1"/>
            </w14:solidFill>
          </w14:textFill>
        </w:rPr>
        <w:t>评标委员会应否决其投标。</w:t>
      </w:r>
    </w:p>
    <w:p>
      <w:pPr>
        <w:spacing w:before="182" w:line="220"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（1）投标文件中的大写金额与小写金额不一致的，以大</w:t>
      </w:r>
      <w:r>
        <w:rPr>
          <w:rFonts w:hint="eastAsia" w:ascii="微软雅黑" w:hAnsi="微软雅黑" w:eastAsia="微软雅黑" w:cs="微软雅黑"/>
          <w:color w:val="000000" w:themeColor="text1"/>
          <w:spacing w:val="-3"/>
          <w:sz w:val="24"/>
          <w:szCs w:val="24"/>
          <w14:textFill>
            <w14:solidFill>
              <w14:schemeClr w14:val="tx1"/>
            </w14:solidFill>
          </w14:textFill>
        </w:rPr>
        <w:t>写金额为准；</w:t>
      </w:r>
    </w:p>
    <w:p>
      <w:pPr>
        <w:spacing w:before="183" w:line="289" w:lineRule="auto"/>
        <w:ind w:left="24" w:right="186" w:firstLine="485"/>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（2）总价金额与依据单价计算出的结果不一致的，以单价金额为准修正总</w:t>
      </w:r>
      <w:r>
        <w:rPr>
          <w:rFonts w:hint="eastAsia" w:ascii="微软雅黑" w:hAnsi="微软雅黑" w:eastAsia="微软雅黑" w:cs="微软雅黑"/>
          <w:color w:val="000000" w:themeColor="text1"/>
          <w:spacing w:val="-4"/>
          <w:sz w:val="24"/>
          <w:szCs w:val="24"/>
          <w14:textFill>
            <w14:solidFill>
              <w14:schemeClr w14:val="tx1"/>
            </w14:solidFill>
          </w14:textFill>
        </w:rPr>
        <w:t>价，但单价金额小数点有明显错误的除外；</w:t>
      </w:r>
    </w:p>
    <w:p>
      <w:pPr>
        <w:spacing w:before="184" w:line="289" w:lineRule="auto"/>
        <w:ind w:left="43" w:right="202" w:firstLine="46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（3）当单价与数量相乘不等于合价时，以单价计算为准，</w:t>
      </w:r>
      <w:r>
        <w:rPr>
          <w:rFonts w:hint="eastAsia" w:ascii="微软雅黑" w:hAnsi="微软雅黑" w:eastAsia="微软雅黑" w:cs="微软雅黑"/>
          <w:color w:val="000000" w:themeColor="text1"/>
          <w:spacing w:val="-1"/>
          <w:sz w:val="24"/>
          <w:szCs w:val="24"/>
          <w14:textFill>
            <w14:solidFill>
              <w14:schemeClr w14:val="tx1"/>
            </w14:solidFill>
          </w14:textFill>
        </w:rPr>
        <w:t>如果单价有明显</w:t>
      </w:r>
      <w:r>
        <w:rPr>
          <w:rFonts w:hint="eastAsia" w:ascii="微软雅黑" w:hAnsi="微软雅黑" w:eastAsia="微软雅黑" w:cs="微软雅黑"/>
          <w:color w:val="000000" w:themeColor="text1"/>
          <w:spacing w:val="-3"/>
          <w:sz w:val="24"/>
          <w:szCs w:val="24"/>
          <w14:textFill>
            <w14:solidFill>
              <w14:schemeClr w14:val="tx1"/>
            </w14:solidFill>
          </w14:textFill>
        </w:rPr>
        <w:t>的小数点位置差错，应以标出的合价为准，同时对单价予以修正；</w:t>
      </w:r>
    </w:p>
    <w:p>
      <w:pPr>
        <w:spacing w:before="185" w:line="289" w:lineRule="auto"/>
        <w:ind w:left="28" w:right="195" w:firstLine="481"/>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（4）当各子目的合价累计不等于总价时，应以各子目合价累计数为准，修</w:t>
      </w:r>
      <w:r>
        <w:rPr>
          <w:rFonts w:hint="eastAsia" w:ascii="微软雅黑" w:hAnsi="微软雅黑" w:eastAsia="微软雅黑" w:cs="微软雅黑"/>
          <w:color w:val="000000" w:themeColor="text1"/>
          <w:spacing w:val="-10"/>
          <w:sz w:val="24"/>
          <w:szCs w:val="24"/>
          <w14:textFill>
            <w14:solidFill>
              <w14:schemeClr w14:val="tx1"/>
            </w14:solidFill>
          </w14:textFill>
        </w:rPr>
        <w:t>正总价。</w:t>
      </w:r>
    </w:p>
    <w:p>
      <w:pPr>
        <w:spacing w:before="184" w:line="290" w:lineRule="auto"/>
        <w:ind w:left="30" w:right="186" w:firstLine="47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3.4.3  修正后的最终投标报价若超过最高投</w:t>
      </w:r>
      <w:r>
        <w:rPr>
          <w:rFonts w:hint="eastAsia" w:ascii="微软雅黑" w:hAnsi="微软雅黑" w:eastAsia="微软雅黑" w:cs="微软雅黑"/>
          <w:color w:val="000000" w:themeColor="text1"/>
          <w:spacing w:val="-5"/>
          <w:sz w:val="24"/>
          <w:szCs w:val="24"/>
          <w14:textFill>
            <w14:solidFill>
              <w14:schemeClr w14:val="tx1"/>
            </w14:solidFill>
          </w14:textFill>
        </w:rPr>
        <w:t>标限价（如有</w:t>
      </w:r>
      <w:r>
        <w:rPr>
          <w:rFonts w:hint="eastAsia" w:ascii="微软雅黑" w:hAnsi="微软雅黑" w:eastAsia="微软雅黑" w:cs="微软雅黑"/>
          <w:color w:val="000000" w:themeColor="text1"/>
          <w:spacing w:val="-34"/>
          <w:sz w:val="24"/>
          <w:szCs w:val="24"/>
          <w14:textFill>
            <w14:solidFill>
              <w14:schemeClr w14:val="tx1"/>
            </w14:solidFill>
          </w14:textFill>
        </w:rPr>
        <w:t>），</w:t>
      </w:r>
      <w:r>
        <w:rPr>
          <w:rFonts w:hint="eastAsia" w:ascii="微软雅黑" w:hAnsi="微软雅黑" w:eastAsia="微软雅黑" w:cs="微软雅黑"/>
          <w:color w:val="000000" w:themeColor="text1"/>
          <w:spacing w:val="-5"/>
          <w:sz w:val="24"/>
          <w:szCs w:val="24"/>
          <w14:textFill>
            <w14:solidFill>
              <w14:schemeClr w14:val="tx1"/>
            </w14:solidFill>
          </w14:textFill>
        </w:rPr>
        <w:t>评标委员会应否</w:t>
      </w:r>
      <w:r>
        <w:rPr>
          <w:rFonts w:hint="eastAsia" w:ascii="微软雅黑" w:hAnsi="微软雅黑" w:eastAsia="微软雅黑" w:cs="微软雅黑"/>
          <w:color w:val="000000" w:themeColor="text1"/>
          <w:spacing w:val="-9"/>
          <w:sz w:val="24"/>
          <w:szCs w:val="24"/>
          <w14:textFill>
            <w14:solidFill>
              <w14:schemeClr w14:val="tx1"/>
            </w14:solidFill>
          </w14:textFill>
        </w:rPr>
        <w:t>决其投标。</w:t>
      </w:r>
    </w:p>
    <w:p>
      <w:pPr>
        <w:spacing w:before="182" w:line="290" w:lineRule="auto"/>
        <w:ind w:left="26" w:right="186" w:firstLine="47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3.4.4  修正后的最终投标报价仅作为签订合同的一个依据，不参与评标价得</w:t>
      </w:r>
      <w:r>
        <w:rPr>
          <w:rFonts w:hint="eastAsia" w:ascii="微软雅黑" w:hAnsi="微软雅黑" w:eastAsia="微软雅黑" w:cs="微软雅黑"/>
          <w:color w:val="000000" w:themeColor="text1"/>
          <w:spacing w:val="-8"/>
          <w:sz w:val="24"/>
          <w:szCs w:val="24"/>
          <w14:textFill>
            <w14:solidFill>
              <w14:schemeClr w14:val="tx1"/>
            </w14:solidFill>
          </w14:textFill>
        </w:rPr>
        <w:t>分的计算。</w:t>
      </w:r>
    </w:p>
    <w:p>
      <w:pPr>
        <w:spacing w:before="182"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3.5  第二个信封详细评审</w:t>
      </w:r>
    </w:p>
    <w:p>
      <w:pPr>
        <w:spacing w:before="184" w:line="315" w:lineRule="auto"/>
        <w:ind w:left="23" w:right="186" w:firstLine="48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3.5.1  评标委员会按本章第</w:t>
      </w:r>
      <w:r>
        <w:rPr>
          <w:rFonts w:hint="eastAsia" w:ascii="微软雅黑" w:hAnsi="微软雅黑" w:eastAsia="微软雅黑" w:cs="微软雅黑"/>
          <w:color w:val="000000" w:themeColor="text1"/>
          <w:spacing w:val="-54"/>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1"/>
          <w:sz w:val="24"/>
          <w:szCs w:val="24"/>
          <w14:textFill>
            <w14:solidFill>
              <w14:schemeClr w14:val="tx1"/>
            </w14:solidFill>
          </w14:textFill>
        </w:rPr>
        <w:t>2.2.4 项（3）</w:t>
      </w:r>
      <w:r>
        <w:rPr>
          <w:rFonts w:hint="eastAsia" w:ascii="微软雅黑" w:hAnsi="微软雅黑" w:eastAsia="微软雅黑" w:cs="微软雅黑"/>
          <w:color w:val="000000" w:themeColor="text1"/>
          <w:spacing w:val="-63"/>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1"/>
          <w:sz w:val="24"/>
          <w:szCs w:val="24"/>
          <w14:textFill>
            <w14:solidFill>
              <w14:schemeClr w14:val="tx1"/>
            </w14:solidFill>
          </w14:textFill>
        </w:rPr>
        <w:t>目规定的评审因</w:t>
      </w:r>
      <w:r>
        <w:rPr>
          <w:rFonts w:hint="eastAsia" w:ascii="微软雅黑" w:hAnsi="微软雅黑" w:eastAsia="微软雅黑" w:cs="微软雅黑"/>
          <w:color w:val="000000" w:themeColor="text1"/>
          <w:spacing w:val="-2"/>
          <w:sz w:val="24"/>
          <w:szCs w:val="24"/>
          <w14:textFill>
            <w14:solidFill>
              <w14:schemeClr w14:val="tx1"/>
            </w14:solidFill>
          </w14:textFill>
        </w:rPr>
        <w:t>素和分值对评标价</w:t>
      </w:r>
      <w:r>
        <w:rPr>
          <w:rFonts w:hint="eastAsia" w:ascii="微软雅黑" w:hAnsi="微软雅黑" w:eastAsia="微软雅黑" w:cs="微软雅黑"/>
          <w:color w:val="000000" w:themeColor="text1"/>
          <w:spacing w:val="1"/>
          <w:sz w:val="24"/>
          <w:szCs w:val="24"/>
          <w14:textFill>
            <w14:solidFill>
              <w14:schemeClr w14:val="tx1"/>
            </w14:solidFill>
          </w14:textFill>
        </w:rPr>
        <w:t>计算出得分C。评标价得分分值计算保留小数点后两位，小数点后第三位“四舍</w:t>
      </w:r>
      <w:r>
        <w:rPr>
          <w:rFonts w:hint="eastAsia" w:ascii="微软雅黑" w:hAnsi="微软雅黑" w:eastAsia="微软雅黑" w:cs="微软雅黑"/>
          <w:color w:val="000000" w:themeColor="text1"/>
          <w:spacing w:val="-3"/>
          <w:sz w:val="24"/>
          <w:szCs w:val="24"/>
          <w14:textFill>
            <w14:solidFill>
              <w14:schemeClr w14:val="tx1"/>
            </w14:solidFill>
          </w14:textFill>
        </w:rPr>
        <w:t>五入”。</w:t>
      </w:r>
    </w:p>
    <w:p>
      <w:pPr>
        <w:spacing w:before="131" w:line="323" w:lineRule="exact"/>
        <w:ind w:left="50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position w:val="1"/>
          <w:sz w:val="24"/>
          <w:szCs w:val="24"/>
          <w14:textFill>
            <w14:solidFill>
              <w14:schemeClr w14:val="tx1"/>
            </w14:solidFill>
          </w14:textFill>
        </w:rPr>
        <w:t>3.5.2  投标人综合得分=投标人的商务和技术得分+C。</w:t>
      </w:r>
    </w:p>
    <w:p>
      <w:pPr>
        <w:spacing w:before="185" w:line="325" w:lineRule="auto"/>
        <w:ind w:left="22" w:right="6" w:firstLine="481"/>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3.5.3  评标委员会发现投标人的报价明显低于其他投标报价，使得其投标报</w:t>
      </w:r>
      <w:r>
        <w:rPr>
          <w:rFonts w:hint="eastAsia" w:ascii="微软雅黑" w:hAnsi="微软雅黑" w:eastAsia="微软雅黑" w:cs="微软雅黑"/>
          <w:color w:val="000000" w:themeColor="text1"/>
          <w:spacing w:val="-5"/>
          <w:sz w:val="24"/>
          <w:szCs w:val="24"/>
          <w14:textFill>
            <w14:solidFill>
              <w14:schemeClr w14:val="tx1"/>
            </w14:solidFill>
          </w14:textFill>
        </w:rPr>
        <w:t>价可能低于其个别成本的，应要求该投标人作出书面说明并提供相应的证明材料。</w:t>
      </w:r>
      <w:r>
        <w:rPr>
          <w:rFonts w:hint="eastAsia" w:ascii="微软雅黑" w:hAnsi="微软雅黑" w:eastAsia="微软雅黑" w:cs="微软雅黑"/>
          <w:color w:val="000000" w:themeColor="text1"/>
          <w:spacing w:val="-3"/>
          <w:sz w:val="24"/>
          <w:szCs w:val="24"/>
          <w14:textFill>
            <w14:solidFill>
              <w14:schemeClr w14:val="tx1"/>
            </w14:solidFill>
          </w14:textFill>
        </w:rPr>
        <w:t>投标人不能合理说明或不能提供相应证明材料的，评标委员会应认定该投标人以低于成本报价竞标，并否决其投标。</w:t>
      </w:r>
    </w:p>
    <w:p>
      <w:pPr>
        <w:spacing w:before="184"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3.6  投标文件相关信息的核查</w:t>
      </w:r>
    </w:p>
    <w:p>
      <w:pPr>
        <w:spacing w:before="183" w:line="360" w:lineRule="auto"/>
        <w:ind w:firstLine="472"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3.6.1  在评标过程中，评标委员会应查询</w:t>
      </w:r>
      <w:r>
        <w:rPr>
          <w:rFonts w:hint="eastAsia" w:ascii="微软雅黑" w:hAnsi="微软雅黑" w:eastAsia="微软雅黑" w:cs="微软雅黑"/>
          <w:color w:val="000000" w:themeColor="text1"/>
          <w:spacing w:val="-3"/>
          <w:sz w:val="24"/>
          <w:szCs w:val="24"/>
          <w14:textFill>
            <w14:solidFill>
              <w14:schemeClr w14:val="tx1"/>
            </w14:solidFill>
          </w14:textFill>
        </w:rPr>
        <w:t>交通运输主管部门“公路建设市场信</w:t>
      </w:r>
      <w:r>
        <w:rPr>
          <w:rFonts w:hint="eastAsia" w:ascii="微软雅黑" w:hAnsi="微软雅黑" w:eastAsia="微软雅黑" w:cs="微软雅黑"/>
          <w:color w:val="000000" w:themeColor="text1"/>
          <w:spacing w:val="1"/>
          <w:sz w:val="24"/>
          <w:szCs w:val="24"/>
          <w14:textFill>
            <w14:solidFill>
              <w14:schemeClr w14:val="tx1"/>
            </w14:solidFill>
          </w14:textFill>
        </w:rPr>
        <w:t>用信息管理系统”，对投标人的资质、业绩、主要人员资历</w:t>
      </w:r>
      <w:r>
        <w:rPr>
          <w:rFonts w:hint="eastAsia" w:ascii="微软雅黑" w:hAnsi="微软雅黑" w:eastAsia="微软雅黑" w:cs="微软雅黑"/>
          <w:color w:val="000000" w:themeColor="text1"/>
          <w:sz w:val="24"/>
          <w:szCs w:val="24"/>
          <w14:textFill>
            <w14:solidFill>
              <w14:schemeClr w14:val="tx1"/>
            </w14:solidFill>
          </w14:textFill>
        </w:rPr>
        <w:t>和目前在岗情况、信</w:t>
      </w:r>
      <w:r>
        <w:rPr>
          <w:rFonts w:hint="eastAsia" w:ascii="微软雅黑" w:hAnsi="微软雅黑" w:eastAsia="微软雅黑" w:cs="微软雅黑"/>
          <w:color w:val="000000" w:themeColor="text1"/>
          <w:spacing w:val="1"/>
          <w:sz w:val="24"/>
          <w:szCs w:val="24"/>
          <w14:textFill>
            <w14:solidFill>
              <w14:schemeClr w14:val="tx1"/>
            </w14:solidFill>
          </w14:textFill>
        </w:rPr>
        <w:t>用等级等信息进行核实。若投标文件载明的信息与交通运输主管部</w:t>
      </w:r>
      <w:r>
        <w:rPr>
          <w:rFonts w:hint="eastAsia" w:ascii="微软雅黑" w:hAnsi="微软雅黑" w:eastAsia="微软雅黑" w:cs="微软雅黑"/>
          <w:color w:val="000000" w:themeColor="text1"/>
          <w:sz w:val="24"/>
          <w:szCs w:val="24"/>
          <w14:textFill>
            <w14:solidFill>
              <w14:schemeClr w14:val="tx1"/>
            </w14:solidFill>
          </w14:textFill>
        </w:rPr>
        <w:t>门“公路建设</w:t>
      </w:r>
      <w:r>
        <w:rPr>
          <w:rFonts w:hint="eastAsia" w:ascii="微软雅黑" w:hAnsi="微软雅黑" w:eastAsia="微软雅黑" w:cs="微软雅黑"/>
          <w:color w:val="000000" w:themeColor="text1"/>
          <w:spacing w:val="1"/>
          <w:sz w:val="24"/>
          <w:szCs w:val="24"/>
          <w14:textFill>
            <w14:solidFill>
              <w14:schemeClr w14:val="tx1"/>
            </w14:solidFill>
          </w14:textFill>
        </w:rPr>
        <w:t>市场信用信息管理系统”发布的信息不符，使得投标人的资格条件</w:t>
      </w:r>
      <w:r>
        <w:rPr>
          <w:rFonts w:hint="eastAsia" w:ascii="微软雅黑" w:hAnsi="微软雅黑" w:eastAsia="微软雅黑" w:cs="微软雅黑"/>
          <w:color w:val="000000" w:themeColor="text1"/>
          <w:sz w:val="24"/>
          <w:szCs w:val="24"/>
          <w14:textFill>
            <w14:solidFill>
              <w14:schemeClr w14:val="tx1"/>
            </w14:solidFill>
          </w14:textFill>
        </w:rPr>
        <w:t>不符合招标文</w:t>
      </w:r>
      <w:r>
        <w:rPr>
          <w:rFonts w:hint="eastAsia" w:ascii="微软雅黑" w:hAnsi="微软雅黑" w:eastAsia="微软雅黑" w:cs="微软雅黑"/>
          <w:color w:val="000000" w:themeColor="text1"/>
          <w:spacing w:val="-3"/>
          <w:sz w:val="24"/>
          <w:szCs w:val="24"/>
          <w14:textFill>
            <w14:solidFill>
              <w14:schemeClr w14:val="tx1"/>
            </w14:solidFill>
          </w14:textFill>
        </w:rPr>
        <w:t>件规定的，评标委员会应否决其投标。</w:t>
      </w:r>
    </w:p>
    <w:p>
      <w:pPr>
        <w:spacing w:line="360" w:lineRule="auto"/>
        <w:ind w:left="24" w:right="63" w:firstLine="479"/>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3.6.2  评标委员会应对在评标过程中发现的投标人与投标人之间、投标人与</w:t>
      </w:r>
      <w:r>
        <w:rPr>
          <w:rFonts w:hint="eastAsia" w:ascii="微软雅黑" w:hAnsi="微软雅黑" w:eastAsia="微软雅黑" w:cs="微软雅黑"/>
          <w:color w:val="000000" w:themeColor="text1"/>
          <w:spacing w:val="-3"/>
          <w:sz w:val="24"/>
          <w:szCs w:val="24"/>
          <w14:textFill>
            <w14:solidFill>
              <w14:schemeClr w14:val="tx1"/>
            </w14:solidFill>
          </w14:textFill>
        </w:rPr>
        <w:t>招标人之间存在的串通投标的情形进行评审和认定。投标人存在串通投标、弄虚</w:t>
      </w:r>
      <w:r>
        <w:rPr>
          <w:rFonts w:hint="eastAsia" w:ascii="微软雅黑" w:hAnsi="微软雅黑" w:eastAsia="微软雅黑" w:cs="微软雅黑"/>
          <w:color w:val="000000" w:themeColor="text1"/>
          <w:spacing w:val="-2"/>
          <w:sz w:val="24"/>
          <w:szCs w:val="24"/>
          <w14:textFill>
            <w14:solidFill>
              <w14:schemeClr w14:val="tx1"/>
            </w14:solidFill>
          </w14:textFill>
        </w:rPr>
        <w:t>作假、行贿等违法行为的，评标委员会应否决其投标。</w:t>
      </w:r>
    </w:p>
    <w:p>
      <w:pPr>
        <w:spacing w:line="220"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（1）有下列情形之一的，属于投标人相互串通投标：</w:t>
      </w:r>
    </w:p>
    <w:p>
      <w:pPr>
        <w:spacing w:before="181" w:line="218"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a.投标人之间协商投标报价等投标文件的实质性内容；</w:t>
      </w:r>
    </w:p>
    <w:p>
      <w:pPr>
        <w:spacing w:before="184" w:line="220" w:lineRule="auto"/>
        <w:ind w:left="49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b.投标人之间约定中标人；</w:t>
      </w:r>
    </w:p>
    <w:p>
      <w:pPr>
        <w:spacing w:before="181" w:line="220"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c.投标人之间约定部分投标人放弃投标或中标；</w:t>
      </w:r>
    </w:p>
    <w:p>
      <w:pPr>
        <w:spacing w:before="182" w:line="219" w:lineRule="auto"/>
        <w:ind w:firstLine="456" w:firstLineChars="20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6"/>
          <w:sz w:val="24"/>
          <w:szCs w:val="24"/>
          <w14:textFill>
            <w14:solidFill>
              <w14:schemeClr w14:val="tx1"/>
            </w14:solidFill>
          </w14:textFill>
        </w:rPr>
        <w:t>d.属于同一集团、协会、商会等组织成员的投标人按照</w:t>
      </w:r>
      <w:r>
        <w:rPr>
          <w:rFonts w:hint="eastAsia" w:ascii="微软雅黑" w:hAnsi="微软雅黑" w:eastAsia="微软雅黑" w:cs="微软雅黑"/>
          <w:color w:val="000000" w:themeColor="text1"/>
          <w:spacing w:val="-7"/>
          <w:sz w:val="24"/>
          <w:szCs w:val="24"/>
          <w14:textFill>
            <w14:solidFill>
              <w14:schemeClr w14:val="tx1"/>
            </w14:solidFill>
          </w14:textFill>
        </w:rPr>
        <w:t>该组织要求协同投标；</w:t>
      </w:r>
    </w:p>
    <w:p>
      <w:pPr>
        <w:spacing w:before="183" w:line="219"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e.投标人之间为谋取中标或排斥特定投标人而采取的其他联合行动。</w:t>
      </w:r>
    </w:p>
    <w:p>
      <w:pPr>
        <w:spacing w:before="184" w:line="220"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（2）有下列情形之一的，视为投标人相互串通投标：</w:t>
      </w:r>
    </w:p>
    <w:p>
      <w:pPr>
        <w:spacing w:before="181" w:line="220"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a.不同投标人的投标文件由同一单位或个人编制；</w:t>
      </w:r>
    </w:p>
    <w:p>
      <w:pPr>
        <w:spacing w:before="182" w:line="220" w:lineRule="auto"/>
        <w:ind w:left="49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b.不同投标人委托同一单位或个人办理投标事宜；</w:t>
      </w:r>
    </w:p>
    <w:p>
      <w:pPr>
        <w:spacing w:before="182" w:line="220"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c.不同投标人的投标文件载明的项目管理成员为同一人；</w:t>
      </w:r>
    </w:p>
    <w:p>
      <w:pPr>
        <w:spacing w:before="183" w:line="218"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d.不同投标人的投标文件异常一致或投标报价呈规</w:t>
      </w:r>
      <w:r>
        <w:rPr>
          <w:rFonts w:hint="eastAsia" w:ascii="微软雅黑" w:hAnsi="微软雅黑" w:eastAsia="微软雅黑" w:cs="微软雅黑"/>
          <w:color w:val="000000" w:themeColor="text1"/>
          <w:spacing w:val="-3"/>
          <w:sz w:val="24"/>
          <w:szCs w:val="24"/>
          <w14:textFill>
            <w14:solidFill>
              <w14:schemeClr w14:val="tx1"/>
            </w14:solidFill>
          </w14:textFill>
        </w:rPr>
        <w:t>律性差异；</w:t>
      </w:r>
    </w:p>
    <w:p>
      <w:pPr>
        <w:spacing w:before="184" w:line="220"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e.不同投标人的投标文件相互混装；</w:t>
      </w:r>
    </w:p>
    <w:p>
      <w:pPr>
        <w:spacing w:before="182" w:line="220" w:lineRule="auto"/>
        <w:ind w:left="50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f.不同投标人的投标保证金从同一单位或个人的账户转出。</w:t>
      </w:r>
    </w:p>
    <w:p>
      <w:pPr>
        <w:spacing w:before="183" w:line="220"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（3）有下列情形之一的，属于招标人与投标人串通投标：</w:t>
      </w:r>
    </w:p>
    <w:p>
      <w:pPr>
        <w:spacing w:before="182" w:line="212"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a.招标人在开标前开启投标文件并将有关信</w:t>
      </w:r>
      <w:r>
        <w:rPr>
          <w:rFonts w:hint="eastAsia" w:ascii="微软雅黑" w:hAnsi="微软雅黑" w:eastAsia="微软雅黑" w:cs="微软雅黑"/>
          <w:color w:val="000000" w:themeColor="text1"/>
          <w:spacing w:val="-1"/>
          <w:sz w:val="24"/>
          <w:szCs w:val="24"/>
          <w14:textFill>
            <w14:solidFill>
              <w14:schemeClr w14:val="tx1"/>
            </w14:solidFill>
          </w14:textFill>
        </w:rPr>
        <w:t>息泄露给其他投标人;</w:t>
      </w:r>
    </w:p>
    <w:p>
      <w:pPr>
        <w:spacing w:before="192" w:line="219" w:lineRule="auto"/>
        <w:ind w:left="49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b.招标人直接或间接向投标人泄露标底、评标委员会成员等信息；</w:t>
      </w:r>
    </w:p>
    <w:p>
      <w:pPr>
        <w:spacing w:before="183" w:line="218"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c.招标人明示或暗示投标人压低或抬高投标报价；</w:t>
      </w:r>
    </w:p>
    <w:p>
      <w:pPr>
        <w:spacing w:before="184" w:line="220"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d.招标人授意投标人撤换、修改投标文件；</w:t>
      </w:r>
    </w:p>
    <w:p>
      <w:pPr>
        <w:spacing w:before="183" w:line="219"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e.招标人明示或暗示投标人为特定投标人中标提供方便；</w:t>
      </w:r>
    </w:p>
    <w:p>
      <w:pPr>
        <w:spacing w:before="183" w:line="219" w:lineRule="auto"/>
        <w:ind w:left="50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f.招标人与投标人为谋求特定投标人中标而采取的其他串通行为。</w:t>
      </w:r>
    </w:p>
    <w:p>
      <w:pPr>
        <w:spacing w:before="183" w:line="219" w:lineRule="auto"/>
        <w:ind w:left="50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（4）投标人有下列情形之一的，属于弄虚作假的行为：</w:t>
      </w:r>
    </w:p>
    <w:p>
      <w:pPr>
        <w:spacing w:before="184" w:line="219" w:lineRule="auto"/>
        <w:ind w:left="502"/>
        <w:rPr>
          <w:rFonts w:hint="eastAsia" w:ascii="微软雅黑" w:hAnsi="微软雅黑" w:eastAsia="微软雅黑" w:cs="微软雅黑"/>
          <w:color w:val="000000" w:themeColor="text1"/>
          <w:spacing w:val="-3"/>
          <w:sz w:val="24"/>
          <w:szCs w:val="24"/>
          <w14:textFill>
            <w14:solidFill>
              <w14:schemeClr w14:val="tx1"/>
            </w14:solidFill>
          </w14:textFill>
        </w:rPr>
      </w:pPr>
      <w:r>
        <w:rPr>
          <w:rFonts w:hint="eastAsia" w:ascii="微软雅黑" w:hAnsi="微软雅黑" w:eastAsia="微软雅黑" w:cs="微软雅黑"/>
          <w:color w:val="000000" w:themeColor="text1"/>
          <w:spacing w:val="-3"/>
          <w:sz w:val="24"/>
          <w:szCs w:val="24"/>
          <w14:textFill>
            <w14:solidFill>
              <w14:schemeClr w14:val="tx1"/>
            </w14:solidFill>
          </w14:textFill>
        </w:rPr>
        <w:t>a.使用通过受让或租借等方式获取的资格、资质证书投标；</w:t>
      </w:r>
    </w:p>
    <w:p>
      <w:pPr>
        <w:spacing w:before="78" w:line="220" w:lineRule="auto"/>
        <w:ind w:left="49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b.使用伪造、变造的许可证件；</w:t>
      </w:r>
    </w:p>
    <w:p>
      <w:pPr>
        <w:spacing w:before="182" w:line="219"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6"/>
          <w:sz w:val="24"/>
          <w:szCs w:val="24"/>
          <w14:textFill>
            <w14:solidFill>
              <w14:schemeClr w14:val="tx1"/>
            </w14:solidFill>
          </w14:textFill>
        </w:rPr>
        <w:t>c.提供虚假的业绩；</w:t>
      </w:r>
    </w:p>
    <w:p>
      <w:pPr>
        <w:spacing w:before="183" w:line="219"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2"/>
          <w:sz w:val="24"/>
          <w:szCs w:val="24"/>
          <w14:textFill>
            <w14:solidFill>
              <w14:schemeClr w14:val="tx1"/>
            </w14:solidFill>
          </w14:textFill>
        </w:rPr>
        <w:t>d.提供虚假的项目负责人或主要技术人员简历、劳</w:t>
      </w:r>
      <w:r>
        <w:rPr>
          <w:rFonts w:hint="eastAsia" w:ascii="微软雅黑" w:hAnsi="微软雅黑" w:eastAsia="微软雅黑" w:cs="微软雅黑"/>
          <w:color w:val="000000" w:themeColor="text1"/>
          <w:spacing w:val="-3"/>
          <w:sz w:val="24"/>
          <w:szCs w:val="24"/>
          <w14:textFill>
            <w14:solidFill>
              <w14:schemeClr w14:val="tx1"/>
            </w14:solidFill>
          </w14:textFill>
        </w:rPr>
        <w:t>动关系证明；</w:t>
      </w:r>
    </w:p>
    <w:p>
      <w:pPr>
        <w:spacing w:before="183" w:line="219" w:lineRule="auto"/>
        <w:ind w:left="502"/>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5"/>
          <w:sz w:val="24"/>
          <w:szCs w:val="24"/>
          <w14:textFill>
            <w14:solidFill>
              <w14:schemeClr w14:val="tx1"/>
            </w14:solidFill>
          </w14:textFill>
        </w:rPr>
        <w:t>e.提供虚假的信用状况；</w:t>
      </w:r>
    </w:p>
    <w:p>
      <w:pPr>
        <w:spacing w:before="183" w:line="219" w:lineRule="auto"/>
        <w:ind w:left="50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4"/>
          <w:sz w:val="24"/>
          <w:szCs w:val="24"/>
          <w14:textFill>
            <w14:solidFill>
              <w14:schemeClr w14:val="tx1"/>
            </w14:solidFill>
          </w14:textFill>
        </w:rPr>
        <w:t>f.其他弄虚作假的行为。</w:t>
      </w:r>
    </w:p>
    <w:p>
      <w:pPr>
        <w:spacing w:before="182"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3.7  投标文件的澄清和说明</w:t>
      </w:r>
    </w:p>
    <w:p>
      <w:pPr>
        <w:spacing w:before="182" w:line="325" w:lineRule="auto"/>
        <w:ind w:left="22" w:right="204" w:firstLine="481"/>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3.7.1在评标过程中，评标委员会可以书面形式要求投标人对投标文件中含</w:t>
      </w:r>
      <w:r>
        <w:rPr>
          <w:rFonts w:hint="eastAsia" w:ascii="微软雅黑" w:hAnsi="微软雅黑" w:eastAsia="微软雅黑" w:cs="微软雅黑"/>
          <w:color w:val="000000" w:themeColor="text1"/>
          <w:spacing w:val="-3"/>
          <w:sz w:val="24"/>
          <w:szCs w:val="24"/>
          <w14:textFill>
            <w14:solidFill>
              <w14:schemeClr w14:val="tx1"/>
            </w14:solidFill>
          </w14:textFill>
        </w:rPr>
        <w:t>义不明确的内容、明显文字或计算错误进行书面澄清或说明。评标委员会不接受</w:t>
      </w:r>
      <w:r>
        <w:rPr>
          <w:rFonts w:hint="eastAsia" w:ascii="微软雅黑" w:hAnsi="微软雅黑" w:eastAsia="微软雅黑" w:cs="微软雅黑"/>
          <w:color w:val="000000" w:themeColor="text1"/>
          <w:spacing w:val="-6"/>
          <w:sz w:val="24"/>
          <w:szCs w:val="24"/>
          <w14:textFill>
            <w14:solidFill>
              <w14:schemeClr w14:val="tx1"/>
            </w14:solidFill>
          </w14:textFill>
        </w:rPr>
        <w:t>投标人主动提出的澄清、说明。投标人不按评标委员会要求澄清</w:t>
      </w:r>
      <w:r>
        <w:rPr>
          <w:rFonts w:hint="eastAsia" w:ascii="微软雅黑" w:hAnsi="微软雅黑" w:eastAsia="微软雅黑" w:cs="微软雅黑"/>
          <w:color w:val="000000" w:themeColor="text1"/>
          <w:spacing w:val="-7"/>
          <w:sz w:val="24"/>
          <w:szCs w:val="24"/>
          <w14:textFill>
            <w14:solidFill>
              <w14:schemeClr w14:val="tx1"/>
            </w14:solidFill>
          </w14:textFill>
        </w:rPr>
        <w:t>或说明的，评标</w:t>
      </w:r>
      <w:r>
        <w:rPr>
          <w:rFonts w:hint="eastAsia" w:ascii="微软雅黑" w:hAnsi="微软雅黑" w:eastAsia="微软雅黑" w:cs="微软雅黑"/>
          <w:color w:val="000000" w:themeColor="text1"/>
          <w:spacing w:val="-4"/>
          <w:sz w:val="24"/>
          <w:szCs w:val="24"/>
          <w14:textFill>
            <w14:solidFill>
              <w14:schemeClr w14:val="tx1"/>
            </w14:solidFill>
          </w14:textFill>
        </w:rPr>
        <w:t>委员会应否决其投标。</w:t>
      </w:r>
    </w:p>
    <w:p>
      <w:pPr>
        <w:spacing w:before="184" w:line="289" w:lineRule="auto"/>
        <w:ind w:left="29" w:firstLine="47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7"/>
          <w:sz w:val="24"/>
          <w:szCs w:val="24"/>
          <w14:textFill>
            <w14:solidFill>
              <w14:schemeClr w14:val="tx1"/>
            </w14:solidFill>
          </w14:textFill>
        </w:rPr>
        <w:t>3.7.2  澄清和说明不得超出投标文件的范围或改变投标文件的实质性内容</w:t>
      </w:r>
      <w:r>
        <w:rPr>
          <w:rFonts w:hint="eastAsia" w:ascii="微软雅黑" w:hAnsi="微软雅黑" w:eastAsia="微软雅黑" w:cs="微软雅黑"/>
          <w:color w:val="000000" w:themeColor="text1"/>
          <w:spacing w:val="-4"/>
          <w:sz w:val="24"/>
          <w:szCs w:val="24"/>
          <w14:textFill>
            <w14:solidFill>
              <w14:schemeClr w14:val="tx1"/>
            </w14:solidFill>
          </w14:textFill>
        </w:rPr>
        <w:t>（算术性错误的修正除外）。投标人的书面澄清、说明属于投标文件的组成部</w:t>
      </w:r>
      <w:r>
        <w:rPr>
          <w:rFonts w:hint="eastAsia" w:ascii="微软雅黑" w:hAnsi="微软雅黑" w:eastAsia="微软雅黑" w:cs="微软雅黑"/>
          <w:color w:val="000000" w:themeColor="text1"/>
          <w:spacing w:val="-5"/>
          <w:sz w:val="24"/>
          <w:szCs w:val="24"/>
          <w14:textFill>
            <w14:solidFill>
              <w14:schemeClr w14:val="tx1"/>
            </w14:solidFill>
          </w14:textFill>
        </w:rPr>
        <w:t>分。</w:t>
      </w:r>
    </w:p>
    <w:p>
      <w:pPr>
        <w:spacing w:before="182" w:line="314" w:lineRule="auto"/>
        <w:ind w:left="23" w:right="205" w:firstLine="48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3.7.3  评标委员会不得暗示或诱导投标人作出澄清、说明，对投标人提交的</w:t>
      </w:r>
      <w:r>
        <w:rPr>
          <w:rFonts w:hint="eastAsia" w:ascii="微软雅黑" w:hAnsi="微软雅黑" w:eastAsia="微软雅黑" w:cs="微软雅黑"/>
          <w:color w:val="000000" w:themeColor="text1"/>
          <w:spacing w:val="-6"/>
          <w:sz w:val="24"/>
          <w:szCs w:val="24"/>
          <w14:textFill>
            <w14:solidFill>
              <w14:schemeClr w14:val="tx1"/>
            </w14:solidFill>
          </w14:textFill>
        </w:rPr>
        <w:t>澄清、说明有疑问的，可以要求投标人进一步澄清或说明，</w:t>
      </w:r>
      <w:r>
        <w:rPr>
          <w:rFonts w:hint="eastAsia" w:ascii="微软雅黑" w:hAnsi="微软雅黑" w:eastAsia="微软雅黑" w:cs="微软雅黑"/>
          <w:color w:val="000000" w:themeColor="text1"/>
          <w:spacing w:val="-7"/>
          <w:sz w:val="24"/>
          <w:szCs w:val="24"/>
          <w14:textFill>
            <w14:solidFill>
              <w14:schemeClr w14:val="tx1"/>
            </w14:solidFill>
          </w14:textFill>
        </w:rPr>
        <w:t>直至满足评标委员会</w:t>
      </w:r>
      <w:r>
        <w:rPr>
          <w:rFonts w:hint="eastAsia" w:ascii="微软雅黑" w:hAnsi="微软雅黑" w:eastAsia="微软雅黑" w:cs="微软雅黑"/>
          <w:color w:val="000000" w:themeColor="text1"/>
          <w:spacing w:val="-9"/>
          <w:sz w:val="24"/>
          <w:szCs w:val="24"/>
          <w14:textFill>
            <w14:solidFill>
              <w14:schemeClr w14:val="tx1"/>
            </w14:solidFill>
          </w14:textFill>
        </w:rPr>
        <w:t>的要求。</w:t>
      </w:r>
    </w:p>
    <w:p>
      <w:pPr>
        <w:spacing w:before="182" w:line="289" w:lineRule="auto"/>
        <w:ind w:left="26" w:right="205" w:firstLine="47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3.7.4  凡超出招标文件规定的或给委托人带来未曾要求的利益的变化、偏差</w:t>
      </w:r>
      <w:r>
        <w:rPr>
          <w:rFonts w:hint="eastAsia" w:ascii="微软雅黑" w:hAnsi="微软雅黑" w:eastAsia="微软雅黑" w:cs="微软雅黑"/>
          <w:color w:val="000000" w:themeColor="text1"/>
          <w:spacing w:val="14"/>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4"/>
          <w:sz w:val="24"/>
          <w:szCs w:val="24"/>
          <w14:textFill>
            <w14:solidFill>
              <w14:schemeClr w14:val="tx1"/>
            </w14:solidFill>
          </w14:textFill>
        </w:rPr>
        <w:t>或其他因素在评标时不予考虑。</w:t>
      </w:r>
    </w:p>
    <w:p>
      <w:pPr>
        <w:spacing w:before="183"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3.8  不得否决投标的情形</w:t>
      </w:r>
    </w:p>
    <w:p>
      <w:pPr>
        <w:spacing w:before="183" w:line="360" w:lineRule="auto"/>
        <w:ind w:left="22" w:right="138" w:firstLine="483"/>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8"/>
          <w:sz w:val="24"/>
          <w:szCs w:val="24"/>
          <w14:textFill>
            <w14:solidFill>
              <w14:schemeClr w14:val="tx1"/>
            </w14:solidFill>
          </w14:textFill>
        </w:rPr>
        <w:t>投标文件存在第二章“投标人须知”第</w:t>
      </w:r>
      <w:r>
        <w:rPr>
          <w:rFonts w:hint="eastAsia" w:ascii="微软雅黑" w:hAnsi="微软雅黑" w:eastAsia="微软雅黑" w:cs="微软雅黑"/>
          <w:color w:val="000000" w:themeColor="text1"/>
          <w:spacing w:val="-24"/>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8"/>
          <w:sz w:val="24"/>
          <w:szCs w:val="24"/>
          <w14:textFill>
            <w14:solidFill>
              <w14:schemeClr w14:val="tx1"/>
            </w14:solidFill>
          </w14:textFill>
        </w:rPr>
        <w:t>1.12.3</w:t>
      </w:r>
      <w:r>
        <w:rPr>
          <w:rFonts w:hint="eastAsia" w:ascii="微软雅黑" w:hAnsi="微软雅黑" w:eastAsia="微软雅黑" w:cs="微软雅黑"/>
          <w:color w:val="000000" w:themeColor="text1"/>
          <w:spacing w:val="14"/>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8"/>
          <w:sz w:val="24"/>
          <w:szCs w:val="24"/>
          <w14:textFill>
            <w14:solidFill>
              <w14:schemeClr w14:val="tx1"/>
            </w14:solidFill>
          </w14:textFill>
        </w:rPr>
        <w:t>项所列情形的，均视为细微偏差，</w:t>
      </w:r>
      <w:r>
        <w:rPr>
          <w:rFonts w:hint="eastAsia" w:ascii="微软雅黑" w:hAnsi="微软雅黑" w:eastAsia="微软雅黑" w:cs="微软雅黑"/>
          <w:color w:val="000000" w:themeColor="text1"/>
          <w:spacing w:val="-3"/>
          <w:sz w:val="24"/>
          <w:szCs w:val="24"/>
          <w14:textFill>
            <w14:solidFill>
              <w14:schemeClr w14:val="tx1"/>
            </w14:solidFill>
          </w14:textFill>
        </w:rPr>
        <w:t>评标委员会不得否决投标人的投标，应按照第二章“投标人须知”第1.12.4项规定</w:t>
      </w:r>
      <w:r>
        <w:rPr>
          <w:rFonts w:hint="eastAsia" w:ascii="微软雅黑" w:hAnsi="微软雅黑" w:eastAsia="微软雅黑" w:cs="微软雅黑"/>
          <w:color w:val="000000" w:themeColor="text1"/>
          <w:spacing w:val="-6"/>
          <w:sz w:val="24"/>
          <w:szCs w:val="24"/>
          <w14:textFill>
            <w14:solidFill>
              <w14:schemeClr w14:val="tx1"/>
            </w14:solidFill>
          </w14:textFill>
        </w:rPr>
        <w:t>的原则处理。</w:t>
      </w:r>
    </w:p>
    <w:p>
      <w:pPr>
        <w:spacing w:line="220" w:lineRule="auto"/>
        <w:ind w:left="17"/>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pacing w:val="-2"/>
          <w:sz w:val="24"/>
          <w:szCs w:val="24"/>
          <w14:textFill>
            <w14:solidFill>
              <w14:schemeClr w14:val="tx1"/>
            </w14:solidFill>
          </w14:textFill>
        </w:rPr>
        <w:t>3.9  评标结果</w:t>
      </w:r>
    </w:p>
    <w:p>
      <w:pPr>
        <w:spacing w:before="183" w:line="289" w:lineRule="auto"/>
        <w:ind w:left="30" w:right="205" w:firstLine="47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3.9.1  除第二章“投标人须知”前附表授权直接确定中标人外，评标委员会按</w:t>
      </w:r>
      <w:r>
        <w:rPr>
          <w:rFonts w:hint="eastAsia" w:ascii="微软雅黑" w:hAnsi="微软雅黑" w:eastAsia="微软雅黑" w:cs="微软雅黑"/>
          <w:color w:val="000000" w:themeColor="text1"/>
          <w:spacing w:val="-2"/>
          <w:sz w:val="24"/>
          <w:szCs w:val="24"/>
          <w14:textFill>
            <w14:solidFill>
              <w14:schemeClr w14:val="tx1"/>
            </w14:solidFill>
          </w14:textFill>
        </w:rPr>
        <w:t>照得分由高到低的顺序推荐中标候选人，并标明</w:t>
      </w:r>
      <w:r>
        <w:rPr>
          <w:rFonts w:hint="eastAsia" w:ascii="微软雅黑" w:hAnsi="微软雅黑" w:eastAsia="微软雅黑" w:cs="微软雅黑"/>
          <w:color w:val="000000" w:themeColor="text1"/>
          <w:spacing w:val="-3"/>
          <w:sz w:val="24"/>
          <w:szCs w:val="24"/>
          <w14:textFill>
            <w14:solidFill>
              <w14:schemeClr w14:val="tx1"/>
            </w14:solidFill>
          </w14:textFill>
        </w:rPr>
        <w:t>排序。</w:t>
      </w:r>
    </w:p>
    <w:p>
      <w:pPr>
        <w:spacing w:before="105" w:line="218" w:lineRule="auto"/>
        <w:ind w:left="23"/>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1"/>
          <w:sz w:val="24"/>
          <w:szCs w:val="24"/>
          <w14:textFill>
            <w14:solidFill>
              <w14:schemeClr w14:val="tx1"/>
            </w14:solidFill>
          </w14:textFill>
        </w:rPr>
        <w:t>3.9.2  评标委员会完成评标后，应向</w:t>
      </w:r>
      <w:r>
        <w:rPr>
          <w:rFonts w:hint="eastAsia" w:ascii="微软雅黑" w:hAnsi="微软雅黑" w:eastAsia="微软雅黑" w:cs="微软雅黑"/>
          <w:color w:val="000000" w:themeColor="text1"/>
          <w:spacing w:val="-2"/>
          <w:sz w:val="24"/>
          <w:szCs w:val="24"/>
          <w14:textFill>
            <w14:solidFill>
              <w14:schemeClr w14:val="tx1"/>
            </w14:solidFill>
          </w14:textFill>
        </w:rPr>
        <w:t>招标人提交书面评标报告。</w:t>
      </w:r>
    </w:p>
    <w:p>
      <w:pPr>
        <w:pStyle w:val="2"/>
        <w:rPr>
          <w:rFonts w:hint="eastAsia" w:ascii="微软雅黑" w:hAnsi="微软雅黑" w:eastAsia="微软雅黑" w:cs="微软雅黑"/>
          <w:color w:val="000000" w:themeColor="text1"/>
          <w14:textFill>
            <w14:solidFill>
              <w14:schemeClr w14:val="tx1"/>
            </w14:solidFill>
          </w14:textFill>
        </w:rPr>
        <w:sectPr>
          <w:headerReference r:id="rId5" w:type="default"/>
          <w:pgSz w:w="11905" w:h="16838"/>
          <w:pgMar w:top="1134" w:right="1134" w:bottom="1134" w:left="1134" w:header="0" w:footer="0" w:gutter="0"/>
          <w:pgBorders>
            <w:top w:val="none" w:sz="0" w:space="0"/>
            <w:left w:val="none" w:sz="0" w:space="0"/>
            <w:bottom w:val="none" w:sz="0" w:space="0"/>
            <w:right w:val="none" w:sz="0" w:space="0"/>
          </w:pgBorders>
          <w:cols w:space="720" w:num="1"/>
          <w:rtlGutter w:val="0"/>
          <w:docGrid w:linePitch="0" w:charSpace="0"/>
        </w:sect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E2E73"/>
    <w:multiLevelType w:val="singleLevel"/>
    <w:tmpl w:val="E72E2E73"/>
    <w:lvl w:ilvl="0" w:tentative="0">
      <w:start w:val="1"/>
      <w:numFmt w:val="decimal"/>
      <w:lvlText w:val="(%1)"/>
      <w:lvlJc w:val="left"/>
      <w:pPr>
        <w:tabs>
          <w:tab w:val="left" w:pos="312"/>
        </w:tabs>
      </w:pPr>
    </w:lvl>
  </w:abstractNum>
  <w:abstractNum w:abstractNumId="1">
    <w:nsid w:val="0CD83A36"/>
    <w:multiLevelType w:val="multilevel"/>
    <w:tmpl w:val="0CD83A36"/>
    <w:lvl w:ilvl="0" w:tentative="0">
      <w:start w:val="2"/>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YTc2YTkxNzQ0MDIzNDI1OGM0ZTAwYmQzMjZjNjAifQ=="/>
    <w:docVar w:name="KSO_WPS_MARK_KEY" w:val="9458983e-7528-45a7-9f24-d7eaa5e07224"/>
  </w:docVars>
  <w:rsids>
    <w:rsidRoot w:val="2DD25DF7"/>
    <w:rsid w:val="29325BD9"/>
    <w:rsid w:val="2DD25DF7"/>
    <w:rsid w:val="33C343CF"/>
    <w:rsid w:val="67FF5058"/>
    <w:rsid w:val="78C2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szCs w:val="24"/>
    </w:rPr>
  </w:style>
  <w:style w:type="paragraph" w:styleId="3">
    <w:name w:val="Normal (Web)"/>
    <w:basedOn w:val="1"/>
    <w:unhideWhenUsed/>
    <w:qFormat/>
    <w:uiPriority w:val="99"/>
    <w:rPr>
      <w:rFonts w:cs="Times New Roman"/>
      <w:sz w:val="24"/>
      <w:lang w:val="en-US"/>
    </w:rPr>
  </w:style>
  <w:style w:type="table" w:customStyle="1" w:styleId="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8541</Words>
  <Characters>9152</Characters>
  <Lines>0</Lines>
  <Paragraphs>0</Paragraphs>
  <TotalTime>1</TotalTime>
  <ScaleCrop>false</ScaleCrop>
  <LinksUpToDate>false</LinksUpToDate>
  <CharactersWithSpaces>9439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2025-06-09T03:27:00Z</dcterms:created>
  <dc:creator>风轻云淡</dc:creator>
  <cp:lastModifiedBy>风轻云淡</cp:lastModifiedBy>
  <dcterms:modified xsi:type="dcterms:W3CDTF">2025-06-11T05:01:18Z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0266321BA1424CED9B82DFD29C3221BA_13</vt:lpwstr>
  </property>
  <property fmtid="{D5CDD505-2E9C-101B-9397-08002B2CF9AE}" pid="4" name="KSOTemplateDocerSaveRecord">
    <vt:lpwstr>eyJoZGlkIjoiZGI1YjhlMWNjZmE4YTFmZmY5ODMwYWM4NzIyYjRmYmQiLCJ1c2VySWQiOiIzMTU2MzEzMjQifQ==</vt:lpwstr>
  </property>
</Properties>
</file>