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4EA41">
      <w:pPr>
        <w:jc w:val="center"/>
        <w:rPr>
          <w:rFonts w:hint="eastAsia" w:ascii="宋体" w:hAnsi="宋体" w:eastAsia="宋体" w:cs="宋体"/>
          <w:b/>
          <w:bCs w:val="0"/>
          <w:sz w:val="32"/>
          <w:szCs w:val="32"/>
          <w:lang w:eastAsia="zh-CN"/>
        </w:rPr>
      </w:pPr>
      <w:r>
        <w:rPr>
          <w:color w:val="000000"/>
        </w:rPr>
        <w:drawing>
          <wp:anchor distT="0" distB="0" distL="114300" distR="114300" simplePos="0" relativeHeight="251660288" behindDoc="1" locked="0" layoutInCell="1" allowOverlap="1">
            <wp:simplePos x="0" y="0"/>
            <wp:positionH relativeFrom="column">
              <wp:posOffset>3021330</wp:posOffset>
            </wp:positionH>
            <wp:positionV relativeFrom="paragraph">
              <wp:posOffset>-67310</wp:posOffset>
            </wp:positionV>
            <wp:extent cx="1562100" cy="1543685"/>
            <wp:effectExtent l="0" t="0" r="0" b="18415"/>
            <wp:wrapNone/>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7"/>
                    <a:stretch>
                      <a:fillRect/>
                    </a:stretch>
                  </pic:blipFill>
                  <pic:spPr>
                    <a:xfrm>
                      <a:off x="0" y="0"/>
                      <a:ext cx="1562100" cy="15436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4664710</wp:posOffset>
            </wp:positionH>
            <wp:positionV relativeFrom="paragraph">
              <wp:posOffset>-237490</wp:posOffset>
            </wp:positionV>
            <wp:extent cx="1419225" cy="11144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419225" cy="1114425"/>
                    </a:xfrm>
                    <a:prstGeom prst="rect">
                      <a:avLst/>
                    </a:prstGeom>
                    <a:noFill/>
                    <a:ln>
                      <a:noFill/>
                    </a:ln>
                  </pic:spPr>
                </pic:pic>
              </a:graphicData>
            </a:graphic>
          </wp:anchor>
        </w:drawing>
      </w:r>
      <w:r>
        <w:rPr>
          <w:rFonts w:hint="eastAsia" w:ascii="宋体" w:hAnsi="宋体" w:eastAsia="宋体" w:cs="宋体"/>
          <w:b/>
          <w:bCs w:val="0"/>
          <w:sz w:val="32"/>
          <w:szCs w:val="32"/>
          <w:lang w:eastAsia="zh-CN"/>
        </w:rPr>
        <w:t>G316唱郎沟大桥工程施工监控标段</w:t>
      </w:r>
    </w:p>
    <w:p w14:paraId="6E3A8487">
      <w:pPr>
        <w:jc w:val="center"/>
        <w:rPr>
          <w:rFonts w:hint="eastAsia" w:ascii="宋体" w:hAnsi="宋体" w:eastAsia="宋体" w:cs="宋体"/>
          <w:b/>
          <w:bCs w:val="0"/>
          <w:sz w:val="32"/>
          <w:szCs w:val="32"/>
        </w:rPr>
      </w:pPr>
      <w:r>
        <w:rPr>
          <w:rFonts w:hint="eastAsia" w:ascii="宋体" w:hAnsi="宋体" w:eastAsia="宋体" w:cs="宋体"/>
          <w:b/>
          <w:bCs w:val="0"/>
          <w:sz w:val="32"/>
          <w:szCs w:val="32"/>
          <w:lang w:eastAsia="zh-CN"/>
        </w:rPr>
        <w:t>招标</w:t>
      </w:r>
      <w:r>
        <w:rPr>
          <w:rFonts w:hint="eastAsia" w:ascii="宋体" w:hAnsi="宋体" w:eastAsia="宋体" w:cs="宋体"/>
          <w:b/>
          <w:bCs w:val="0"/>
          <w:sz w:val="32"/>
          <w:szCs w:val="32"/>
          <w:lang w:val="en-US" w:eastAsia="zh-CN"/>
        </w:rPr>
        <w:t>文件</w:t>
      </w:r>
      <w:r>
        <w:rPr>
          <w:rFonts w:hint="eastAsia" w:ascii="宋体" w:hAnsi="宋体" w:eastAsia="宋体" w:cs="宋体"/>
          <w:b/>
          <w:bCs w:val="0"/>
          <w:sz w:val="32"/>
          <w:szCs w:val="32"/>
          <w:lang w:eastAsia="zh-CN"/>
        </w:rPr>
        <w:t>关键</w:t>
      </w:r>
      <w:r>
        <w:rPr>
          <w:rFonts w:hint="eastAsia" w:ascii="宋体" w:hAnsi="宋体" w:eastAsia="宋体" w:cs="宋体"/>
          <w:b/>
          <w:bCs w:val="0"/>
          <w:sz w:val="32"/>
          <w:szCs w:val="32"/>
          <w:lang w:val="en-US" w:eastAsia="zh-CN"/>
        </w:rPr>
        <w:t>性</w:t>
      </w:r>
      <w:r>
        <w:rPr>
          <w:rFonts w:hint="eastAsia" w:ascii="宋体" w:hAnsi="宋体" w:eastAsia="宋体" w:cs="宋体"/>
          <w:b/>
          <w:bCs w:val="0"/>
          <w:sz w:val="32"/>
          <w:szCs w:val="32"/>
          <w:lang w:eastAsia="zh-CN"/>
        </w:rPr>
        <w:t>内容</w:t>
      </w:r>
    </w:p>
    <w:p w14:paraId="38D6CB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212B81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b/>
          <w:bCs/>
          <w:color w:val="000000"/>
          <w:kern w:val="2"/>
          <w:sz w:val="24"/>
          <w:szCs w:val="24"/>
        </w:rPr>
      </w:pPr>
      <w:r>
        <w:rPr>
          <w:rFonts w:hint="eastAsia"/>
          <w:b/>
          <w:bCs/>
          <w:color w:val="000000"/>
          <w:kern w:val="2"/>
          <w:sz w:val="24"/>
          <w:szCs w:val="24"/>
          <w:lang w:val="en-US" w:eastAsia="zh-CN"/>
        </w:rPr>
        <w:t>1.</w:t>
      </w:r>
      <w:r>
        <w:rPr>
          <w:rFonts w:hint="eastAsia"/>
          <w:b/>
          <w:bCs/>
          <w:color w:val="000000"/>
          <w:kern w:val="2"/>
          <w:sz w:val="24"/>
          <w:szCs w:val="24"/>
        </w:rPr>
        <w:t>招标条件</w:t>
      </w:r>
    </w:p>
    <w:p w14:paraId="2505ED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lang w:eastAsia="zh-CN"/>
        </w:rPr>
      </w:pPr>
      <w:r>
        <w:rPr>
          <w:rFonts w:hint="eastAsia"/>
          <w:color w:val="000000"/>
          <w:kern w:val="2"/>
          <w:sz w:val="24"/>
          <w:szCs w:val="24"/>
        </w:rPr>
        <w:t>G316唱郎沟大桥工程（以下简称“本项目”）已由陕西省交通运输厅以《关于342国道K1662+375-K1670+375段等12处灾害防治工程施工图设计的批复》（陕交函[2024] 1017号）文件批准建设，项目业主及招标人为安康市公路局，建设资金来自陕西省交通运输厅计划投资，现计划对施工监控进行公开招标</w:t>
      </w:r>
      <w:r>
        <w:rPr>
          <w:rFonts w:hint="eastAsia"/>
          <w:color w:val="000000"/>
          <w:kern w:val="2"/>
          <w:sz w:val="24"/>
          <w:szCs w:val="24"/>
          <w:lang w:eastAsia="zh-CN"/>
        </w:rPr>
        <w:t>。</w:t>
      </w:r>
    </w:p>
    <w:p w14:paraId="17C1558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b/>
          <w:bCs/>
          <w:color w:val="000000"/>
          <w:kern w:val="2"/>
          <w:sz w:val="24"/>
          <w:szCs w:val="24"/>
          <w:lang w:val="en-US" w:eastAsia="zh-CN"/>
        </w:rPr>
      </w:pPr>
      <w:bookmarkStart w:id="0" w:name="_Toc20347"/>
      <w:bookmarkStart w:id="1" w:name="_Toc501257034"/>
      <w:bookmarkStart w:id="2" w:name="_Toc470760974"/>
      <w:r>
        <w:rPr>
          <w:rFonts w:hint="eastAsia"/>
          <w:b/>
          <w:bCs/>
          <w:color w:val="000000"/>
          <w:kern w:val="2"/>
          <w:sz w:val="24"/>
          <w:szCs w:val="24"/>
          <w:lang w:val="en-US" w:eastAsia="zh-CN"/>
        </w:rPr>
        <w:t>2.项目概况与招标范围</w:t>
      </w:r>
      <w:bookmarkEnd w:id="0"/>
      <w:bookmarkEnd w:id="1"/>
      <w:bookmarkEnd w:id="2"/>
    </w:p>
    <w:p w14:paraId="354C87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2.1 项目概况</w:t>
      </w:r>
      <w:bookmarkStart w:id="14" w:name="_GoBack"/>
      <w:bookmarkEnd w:id="14"/>
    </w:p>
    <w:p w14:paraId="6ADA12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316国道K1814+700～K1815+000段旬阳市城关镇境内发育一巨型古滑坡，长约750米，宽约255米，平均厚度约30米，滑坡体体积约5.7×106立方米，公路从该滑坡中部以挖方路基形式通过。该滑坡体路段路基下沉、挡墙开裂严重，局部路段路基路面裂缝宽20～30厘米，下错高度1.5～3米，多次造成交通中断。古滑坡目前均处于蠕动变形阶段，在连阴雨等不利因素影响下，易引起古滑坡整体复活发生滑动，严重威胁316国道公路运营安全，该处地质灾害风险点被评估为一级高风险点。</w:t>
      </w:r>
    </w:p>
    <w:p w14:paraId="650B78A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 xml:space="preserve">316国道K1814+700～K1815+000段灾害防治采用改线设桥避让滑坡方案，改线路段采用二级公路技术标准，设计速度40公里/小时，路基标准宽度10.0米，桥梁汽车荷载等级采用公路-Ⅰ级，设计洪水频率大中桥采用1/100，小桥涵及路基采用1/50，地震动峰值加速度0.05g，基本抗震烈度为Ⅵ度。从既有公路K1814+005起，新建路基、唱郎沟大桥跨越唱郎沟，绕避了滑塌灾害路段后，与既有公路顺接，项目终点止于K1814+735（既有公路桩号为K1815+162,改线路段全长730米。 </w:t>
      </w:r>
    </w:p>
    <w:p w14:paraId="3A84D58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唱郎沟大桥新建为该项目控制工程，大桥全长318米，桥面标准宽度为净宽9.0米+2×0.5米防撞护栏。上部结构采用2×20米预应力混凝土简支箱梁（引桥）+（50+90+50）米预应力混凝土连续刚构（主桥）+4×20米预应力混凝土简支箱梁（引桥），引桥桥面连续；主桥下部结构采用薄壁空心墩（墩高54m），主桥过渡墩及引桥下部采用柱式墩，桥台采用柱式台，墩台均采用桩基础。</w:t>
      </w:r>
    </w:p>
    <w:p w14:paraId="2812A93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2.2 招标范围</w:t>
      </w:r>
    </w:p>
    <w:p w14:paraId="4B19949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color w:val="000000"/>
          <w:kern w:val="2"/>
          <w:sz w:val="24"/>
          <w:szCs w:val="24"/>
        </w:rPr>
      </w:pPr>
      <w:r>
        <w:rPr>
          <w:rFonts w:hint="eastAsia"/>
          <w:color w:val="000000"/>
          <w:kern w:val="2"/>
          <w:sz w:val="24"/>
          <w:szCs w:val="24"/>
        </w:rPr>
        <w:t xml:space="preserve">本次招标招标范围及计划工期如下： </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5562"/>
        <w:gridCol w:w="1623"/>
      </w:tblGrid>
      <w:tr w14:paraId="5EF6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819" w:type="dxa"/>
            <w:noWrap w:val="0"/>
            <w:vAlign w:val="center"/>
          </w:tcPr>
          <w:p w14:paraId="7D8423B6">
            <w:pPr>
              <w:pageBreakBefore w:val="0"/>
              <w:kinsoku/>
              <w:overflowPunct/>
              <w:topLinePunct w:val="0"/>
              <w:bidi w:val="0"/>
              <w:adjustRightInd/>
              <w:spacing w:before="120" w:beforeLines="50" w:line="400" w:lineRule="exact"/>
              <w:jc w:val="center"/>
              <w:textAlignment w:val="auto"/>
              <w:rPr>
                <w:b/>
                <w:bCs/>
                <w:color w:val="000000"/>
                <w:kern w:val="2"/>
                <w:sz w:val="21"/>
                <w:szCs w:val="24"/>
              </w:rPr>
            </w:pPr>
            <w:r>
              <w:rPr>
                <w:b/>
                <w:bCs/>
                <w:color w:val="000000"/>
                <w:kern w:val="2"/>
                <w:sz w:val="21"/>
                <w:szCs w:val="24"/>
              </w:rPr>
              <w:t>标段号</w:t>
            </w:r>
          </w:p>
        </w:tc>
        <w:tc>
          <w:tcPr>
            <w:tcW w:w="5562" w:type="dxa"/>
            <w:noWrap w:val="0"/>
            <w:vAlign w:val="center"/>
          </w:tcPr>
          <w:p w14:paraId="288D8350">
            <w:pPr>
              <w:pageBreakBefore w:val="0"/>
              <w:kinsoku/>
              <w:overflowPunct/>
              <w:topLinePunct w:val="0"/>
              <w:bidi w:val="0"/>
              <w:adjustRightInd/>
              <w:spacing w:line="400" w:lineRule="exact"/>
              <w:jc w:val="center"/>
              <w:textAlignment w:val="auto"/>
              <w:rPr>
                <w:b/>
                <w:bCs/>
                <w:color w:val="000000"/>
                <w:sz w:val="21"/>
                <w:szCs w:val="24"/>
              </w:rPr>
            </w:pPr>
            <w:r>
              <w:rPr>
                <w:b/>
                <w:bCs/>
                <w:color w:val="000000"/>
                <w:sz w:val="21"/>
                <w:szCs w:val="24"/>
              </w:rPr>
              <w:t>主要工程内容</w:t>
            </w:r>
          </w:p>
          <w:p w14:paraId="73FEA2EE">
            <w:pPr>
              <w:pageBreakBefore w:val="0"/>
              <w:kinsoku/>
              <w:overflowPunct/>
              <w:topLinePunct w:val="0"/>
              <w:bidi w:val="0"/>
              <w:adjustRightInd/>
              <w:spacing w:line="400" w:lineRule="exact"/>
              <w:jc w:val="center"/>
              <w:textAlignment w:val="auto"/>
              <w:rPr>
                <w:b/>
                <w:bCs/>
                <w:color w:val="000000"/>
                <w:kern w:val="2"/>
                <w:sz w:val="21"/>
                <w:szCs w:val="24"/>
              </w:rPr>
            </w:pPr>
            <w:r>
              <w:rPr>
                <w:b/>
                <w:bCs/>
                <w:color w:val="000000"/>
                <w:sz w:val="21"/>
                <w:szCs w:val="24"/>
              </w:rPr>
              <w:t>（招标范围包括但不限于以下内容）</w:t>
            </w:r>
          </w:p>
        </w:tc>
        <w:tc>
          <w:tcPr>
            <w:tcW w:w="1623" w:type="dxa"/>
            <w:noWrap w:val="0"/>
            <w:vAlign w:val="center"/>
          </w:tcPr>
          <w:p w14:paraId="4ADE7498">
            <w:pPr>
              <w:pageBreakBefore w:val="0"/>
              <w:kinsoku/>
              <w:overflowPunct/>
              <w:topLinePunct w:val="0"/>
              <w:bidi w:val="0"/>
              <w:adjustRightInd/>
              <w:spacing w:before="120" w:beforeLines="50" w:line="400" w:lineRule="exact"/>
              <w:jc w:val="center"/>
              <w:textAlignment w:val="auto"/>
              <w:rPr>
                <w:b/>
                <w:bCs/>
                <w:color w:val="000000"/>
                <w:sz w:val="21"/>
                <w:szCs w:val="24"/>
              </w:rPr>
            </w:pPr>
            <w:r>
              <w:rPr>
                <w:b/>
                <w:bCs/>
                <w:color w:val="000000"/>
                <w:sz w:val="21"/>
                <w:szCs w:val="24"/>
              </w:rPr>
              <w:t>计划工期</w:t>
            </w:r>
          </w:p>
        </w:tc>
      </w:tr>
      <w:tr w14:paraId="5507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19" w:type="dxa"/>
            <w:noWrap w:val="0"/>
            <w:vAlign w:val="center"/>
          </w:tcPr>
          <w:p w14:paraId="210E854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cs="Times New Roman"/>
                <w:color w:val="000000"/>
                <w:kern w:val="2"/>
                <w:sz w:val="24"/>
                <w:szCs w:val="24"/>
              </w:rPr>
            </w:pPr>
            <w:r>
              <w:rPr>
                <w:rFonts w:hint="eastAsia" w:ascii="Times New Roman" w:hAnsi="Times New Roman" w:cs="Times New Roman"/>
                <w:color w:val="000000"/>
                <w:kern w:val="2"/>
                <w:sz w:val="24"/>
                <w:szCs w:val="24"/>
              </w:rPr>
              <w:t>施工监控标段</w:t>
            </w:r>
          </w:p>
          <w:p w14:paraId="7319EEC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cs="Times New Roman"/>
                <w:color w:val="000000"/>
                <w:kern w:val="2"/>
                <w:sz w:val="24"/>
                <w:szCs w:val="24"/>
              </w:rPr>
            </w:pPr>
            <w:r>
              <w:rPr>
                <w:rFonts w:hint="eastAsia" w:ascii="Times New Roman" w:hAnsi="Times New Roman" w:cs="Times New Roman"/>
                <w:color w:val="000000"/>
                <w:kern w:val="2"/>
                <w:sz w:val="24"/>
                <w:szCs w:val="24"/>
              </w:rPr>
              <w:t>（CLGJK）</w:t>
            </w:r>
          </w:p>
        </w:tc>
        <w:tc>
          <w:tcPr>
            <w:tcW w:w="5562" w:type="dxa"/>
            <w:noWrap w:val="0"/>
            <w:vAlign w:val="center"/>
          </w:tcPr>
          <w:p w14:paraId="53532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cs="Times New Roman"/>
                <w:color w:val="000000"/>
                <w:kern w:val="2"/>
                <w:sz w:val="24"/>
                <w:szCs w:val="24"/>
              </w:rPr>
            </w:pPr>
            <w:r>
              <w:rPr>
                <w:rFonts w:hint="eastAsia" w:ascii="Times New Roman" w:hAnsi="Times New Roman" w:cs="Times New Roman"/>
                <w:color w:val="000000"/>
                <w:kern w:val="2"/>
                <w:sz w:val="24"/>
                <w:szCs w:val="24"/>
              </w:rPr>
              <w:t>本项目控制性工程主桥(唱郎沟大桥)</w:t>
            </w:r>
            <w:r>
              <w:rPr>
                <w:rFonts w:hint="eastAsia" w:ascii="Times New Roman" w:hAnsi="Times New Roman" w:cs="Times New Roman"/>
                <w:color w:val="000000"/>
                <w:kern w:val="2"/>
                <w:sz w:val="24"/>
                <w:szCs w:val="24"/>
                <w:lang w:val="en-US" w:eastAsia="zh-CN"/>
              </w:rPr>
              <w:t>预应力混凝土</w:t>
            </w:r>
            <w:r>
              <w:rPr>
                <w:rFonts w:hint="eastAsia" w:ascii="Times New Roman" w:hAnsi="Times New Roman" w:cs="Times New Roman"/>
                <w:color w:val="000000"/>
                <w:kern w:val="2"/>
                <w:sz w:val="24"/>
                <w:szCs w:val="24"/>
              </w:rPr>
              <w:t>连续</w:t>
            </w:r>
            <w:r>
              <w:rPr>
                <w:rFonts w:hint="eastAsia" w:ascii="Times New Roman" w:hAnsi="Times New Roman" w:cs="Times New Roman"/>
                <w:color w:val="000000"/>
                <w:kern w:val="2"/>
                <w:sz w:val="24"/>
                <w:szCs w:val="24"/>
                <w:lang w:val="en-US" w:eastAsia="zh-CN"/>
              </w:rPr>
              <w:t>刚</w:t>
            </w:r>
            <w:r>
              <w:rPr>
                <w:rFonts w:hint="eastAsia" w:ascii="Times New Roman" w:hAnsi="Times New Roman" w:cs="Times New Roman"/>
                <w:color w:val="000000"/>
                <w:kern w:val="2"/>
                <w:sz w:val="24"/>
                <w:szCs w:val="24"/>
              </w:rPr>
              <w:t>构施工全过程的监控，主要监控内容包括但不限于</w:t>
            </w:r>
            <w:r>
              <w:rPr>
                <w:rFonts w:hint="eastAsia" w:ascii="Times New Roman" w:hAnsi="Times New Roman" w:cs="Times New Roman"/>
                <w:color w:val="000000"/>
                <w:kern w:val="2"/>
                <w:sz w:val="24"/>
                <w:szCs w:val="24"/>
                <w:lang w:eastAsia="zh-CN"/>
              </w:rPr>
              <w:t>：</w:t>
            </w:r>
            <w:r>
              <w:rPr>
                <w:rFonts w:hint="eastAsia" w:ascii="Times New Roman" w:hAnsi="Times New Roman" w:cs="Times New Roman"/>
                <w:color w:val="000000"/>
                <w:kern w:val="2"/>
                <w:sz w:val="24"/>
                <w:szCs w:val="24"/>
                <w:lang w:val="en-US" w:eastAsia="zh-CN"/>
              </w:rPr>
              <w:t>主梁节段高程、轴线偏位、挂篮形变、节段截面应力、合拢温湿度、主梁结构体系转换、</w:t>
            </w:r>
            <w:r>
              <w:rPr>
                <w:rFonts w:hint="eastAsia" w:ascii="Times New Roman" w:hAnsi="Times New Roman" w:cs="Times New Roman"/>
                <w:color w:val="000000"/>
                <w:kern w:val="2"/>
                <w:sz w:val="24"/>
                <w:szCs w:val="24"/>
              </w:rPr>
              <w:t>桥面</w:t>
            </w:r>
            <w:r>
              <w:rPr>
                <w:rFonts w:hint="eastAsia" w:ascii="Times New Roman" w:hAnsi="Times New Roman" w:cs="Times New Roman"/>
                <w:color w:val="000000"/>
                <w:kern w:val="2"/>
                <w:sz w:val="24"/>
                <w:szCs w:val="24"/>
                <w:lang w:val="en-US" w:eastAsia="zh-CN"/>
              </w:rPr>
              <w:t>线性</w:t>
            </w:r>
            <w:r>
              <w:rPr>
                <w:rFonts w:hint="eastAsia" w:ascii="Times New Roman" w:hAnsi="Times New Roman" w:cs="Times New Roman"/>
                <w:color w:val="000000"/>
                <w:kern w:val="2"/>
                <w:sz w:val="24"/>
                <w:szCs w:val="24"/>
              </w:rPr>
              <w:t>等。通过监控判定施工</w:t>
            </w:r>
            <w:r>
              <w:rPr>
                <w:rFonts w:hint="eastAsia" w:ascii="Times New Roman" w:hAnsi="Times New Roman" w:cs="Times New Roman"/>
                <w:color w:val="000000"/>
                <w:kern w:val="2"/>
                <w:sz w:val="24"/>
                <w:szCs w:val="24"/>
                <w:lang w:val="en-US" w:eastAsia="zh-CN"/>
              </w:rPr>
              <w:t>节</w:t>
            </w:r>
            <w:r>
              <w:rPr>
                <w:rFonts w:hint="eastAsia" w:ascii="Times New Roman" w:hAnsi="Times New Roman" w:cs="Times New Roman"/>
                <w:color w:val="000000"/>
                <w:kern w:val="2"/>
                <w:sz w:val="24"/>
                <w:szCs w:val="24"/>
              </w:rPr>
              <w:t>段结构位移和控制截面应力</w:t>
            </w:r>
            <w:r>
              <w:rPr>
                <w:rFonts w:hint="eastAsia" w:ascii="Times New Roman" w:hAnsi="Times New Roman" w:cs="Times New Roman"/>
                <w:color w:val="000000"/>
                <w:kern w:val="2"/>
                <w:sz w:val="24"/>
                <w:szCs w:val="24"/>
                <w:lang w:val="en-US" w:eastAsia="zh-CN"/>
              </w:rPr>
              <w:t>通过数据数据分析</w:t>
            </w:r>
            <w:r>
              <w:rPr>
                <w:rFonts w:hint="eastAsia" w:ascii="Times New Roman" w:hAnsi="Times New Roman" w:cs="Times New Roman"/>
                <w:color w:val="000000"/>
                <w:kern w:val="2"/>
                <w:sz w:val="24"/>
                <w:szCs w:val="24"/>
              </w:rPr>
              <w:t>是否符合设计要求、 是否在安全范围之内，确保施工安全和施工质量，从而指导下一</w:t>
            </w:r>
            <w:r>
              <w:rPr>
                <w:rFonts w:hint="eastAsia" w:ascii="Times New Roman" w:hAnsi="Times New Roman" w:cs="Times New Roman"/>
                <w:color w:val="000000"/>
                <w:kern w:val="2"/>
                <w:sz w:val="24"/>
                <w:szCs w:val="24"/>
                <w:lang w:val="en-US" w:eastAsia="zh-CN"/>
              </w:rPr>
              <w:t>节</w:t>
            </w:r>
            <w:r>
              <w:rPr>
                <w:rFonts w:hint="eastAsia" w:ascii="Times New Roman" w:hAnsi="Times New Roman" w:cs="Times New Roman"/>
                <w:color w:val="000000"/>
                <w:kern w:val="2"/>
                <w:sz w:val="24"/>
                <w:szCs w:val="24"/>
              </w:rPr>
              <w:t>段施工。</w:t>
            </w:r>
          </w:p>
        </w:tc>
        <w:tc>
          <w:tcPr>
            <w:tcW w:w="1623" w:type="dxa"/>
            <w:noWrap w:val="0"/>
            <w:vAlign w:val="center"/>
          </w:tcPr>
          <w:p w14:paraId="02D05347">
            <w:pPr>
              <w:pageBreakBefore w:val="0"/>
              <w:kinsoku/>
              <w:overflowPunct/>
              <w:topLinePunct w:val="0"/>
              <w:bidi w:val="0"/>
              <w:adjustRightInd/>
              <w:spacing w:line="400" w:lineRule="exact"/>
              <w:jc w:val="center"/>
              <w:textAlignment w:val="auto"/>
              <w:rPr>
                <w:color w:val="FF0000"/>
                <w:kern w:val="2"/>
                <w:sz w:val="21"/>
                <w:szCs w:val="24"/>
              </w:rPr>
            </w:pPr>
            <w:r>
              <w:rPr>
                <w:rFonts w:hint="eastAsia"/>
                <w:color w:val="000000"/>
                <w:kern w:val="2"/>
                <w:sz w:val="21"/>
                <w:szCs w:val="24"/>
                <w:lang w:val="en-US" w:eastAsia="zh-CN"/>
              </w:rPr>
              <w:t>270天</w:t>
            </w:r>
          </w:p>
        </w:tc>
      </w:tr>
    </w:tbl>
    <w:p w14:paraId="23BB8287">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b/>
          <w:bCs/>
          <w:color w:val="000000"/>
          <w:kern w:val="2"/>
          <w:sz w:val="24"/>
          <w:szCs w:val="24"/>
          <w:lang w:val="en-US" w:eastAsia="zh-CN"/>
        </w:rPr>
      </w:pPr>
      <w:bookmarkStart w:id="3" w:name="_Toc470760975"/>
      <w:bookmarkStart w:id="4" w:name="_Toc1220"/>
      <w:bookmarkStart w:id="5" w:name="_Toc501257035"/>
      <w:r>
        <w:rPr>
          <w:rFonts w:hint="eastAsia"/>
          <w:b/>
          <w:bCs/>
          <w:color w:val="000000"/>
          <w:kern w:val="2"/>
          <w:sz w:val="24"/>
          <w:szCs w:val="24"/>
          <w:lang w:val="en-US" w:eastAsia="zh-CN"/>
        </w:rPr>
        <w:t>3.投标人资格要求</w:t>
      </w:r>
      <w:bookmarkEnd w:id="3"/>
      <w:bookmarkEnd w:id="4"/>
      <w:bookmarkEnd w:id="5"/>
    </w:p>
    <w:p w14:paraId="09FB0E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color w:val="000000"/>
          <w:kern w:val="2"/>
          <w:sz w:val="24"/>
          <w:szCs w:val="24"/>
        </w:rPr>
      </w:pPr>
      <w:r>
        <w:rPr>
          <w:rFonts w:hint="eastAsia"/>
          <w:color w:val="000000"/>
          <w:kern w:val="2"/>
          <w:sz w:val="24"/>
          <w:szCs w:val="24"/>
        </w:rPr>
        <w:t>3.1 本次招标要求投标人必须具备独立法人资格，具有有效的营业执照，且同时具备下列要求的各标段资格条件：</w:t>
      </w:r>
    </w:p>
    <w:p w14:paraId="65458D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color w:val="000000"/>
          <w:kern w:val="2"/>
          <w:sz w:val="24"/>
          <w:szCs w:val="24"/>
        </w:rPr>
      </w:pPr>
      <w:r>
        <w:rPr>
          <w:rFonts w:hint="eastAsia"/>
          <w:color w:val="000000"/>
          <w:kern w:val="2"/>
          <w:sz w:val="24"/>
          <w:szCs w:val="24"/>
        </w:rPr>
        <w:t>（一）施工</w:t>
      </w:r>
      <w:r>
        <w:rPr>
          <w:rFonts w:hint="eastAsia"/>
          <w:color w:val="000000"/>
          <w:kern w:val="2"/>
          <w:sz w:val="24"/>
          <w:szCs w:val="24"/>
          <w:lang w:val="en-US" w:eastAsia="zh-CN"/>
        </w:rPr>
        <w:t>监控</w:t>
      </w:r>
      <w:r>
        <w:rPr>
          <w:rFonts w:hint="eastAsia"/>
          <w:color w:val="000000"/>
          <w:kern w:val="2"/>
          <w:sz w:val="24"/>
          <w:szCs w:val="24"/>
        </w:rPr>
        <w:t>标段（CLGJK）资格要求如下：</w:t>
      </w: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222"/>
      </w:tblGrid>
      <w:tr w14:paraId="15EC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2" w:type="dxa"/>
            <w:noWrap w:val="0"/>
            <w:vAlign w:val="center"/>
          </w:tcPr>
          <w:p w14:paraId="780F40A2">
            <w:pPr>
              <w:pageBreakBefore w:val="0"/>
              <w:kinsoku/>
              <w:overflowPunct/>
              <w:topLinePunct w:val="0"/>
              <w:autoSpaceDE w:val="0"/>
              <w:autoSpaceDN w:val="0"/>
              <w:bidi w:val="0"/>
              <w:snapToGrid w:val="0"/>
              <w:spacing w:line="400" w:lineRule="exact"/>
              <w:jc w:val="center"/>
              <w:textAlignment w:val="auto"/>
              <w:rPr>
                <w:b/>
                <w:bCs/>
                <w:color w:val="000000"/>
                <w:kern w:val="2"/>
                <w:sz w:val="21"/>
                <w:szCs w:val="24"/>
              </w:rPr>
            </w:pPr>
            <w:r>
              <w:rPr>
                <w:b/>
                <w:bCs/>
                <w:color w:val="000000"/>
                <w:kern w:val="2"/>
                <w:sz w:val="21"/>
                <w:szCs w:val="24"/>
              </w:rPr>
              <w:t>资格要求</w:t>
            </w:r>
          </w:p>
        </w:tc>
        <w:tc>
          <w:tcPr>
            <w:tcW w:w="8222" w:type="dxa"/>
            <w:noWrap w:val="0"/>
            <w:vAlign w:val="center"/>
          </w:tcPr>
          <w:p w14:paraId="24BBB391">
            <w:pPr>
              <w:pageBreakBefore w:val="0"/>
              <w:kinsoku/>
              <w:overflowPunct/>
              <w:topLinePunct w:val="0"/>
              <w:autoSpaceDE w:val="0"/>
              <w:autoSpaceDN w:val="0"/>
              <w:bidi w:val="0"/>
              <w:snapToGrid w:val="0"/>
              <w:spacing w:line="400" w:lineRule="exact"/>
              <w:jc w:val="center"/>
              <w:textAlignment w:val="auto"/>
              <w:rPr>
                <w:b/>
                <w:bCs/>
                <w:color w:val="000000"/>
                <w:kern w:val="2"/>
                <w:sz w:val="21"/>
                <w:szCs w:val="24"/>
              </w:rPr>
            </w:pPr>
            <w:r>
              <w:rPr>
                <w:rFonts w:hint="eastAsia"/>
                <w:b/>
                <w:bCs/>
                <w:color w:val="000000"/>
                <w:kern w:val="2"/>
                <w:sz w:val="21"/>
                <w:szCs w:val="24"/>
              </w:rPr>
              <w:t>CLGJK</w:t>
            </w:r>
            <w:r>
              <w:rPr>
                <w:b/>
                <w:bCs/>
                <w:color w:val="000000"/>
                <w:kern w:val="2"/>
                <w:sz w:val="21"/>
                <w:szCs w:val="24"/>
              </w:rPr>
              <w:t>标段</w:t>
            </w:r>
          </w:p>
        </w:tc>
      </w:tr>
      <w:tr w14:paraId="779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1066C7D">
            <w:pPr>
              <w:pageBreakBefore w:val="0"/>
              <w:kinsoku/>
              <w:overflowPunct/>
              <w:topLinePunct w:val="0"/>
              <w:autoSpaceDE w:val="0"/>
              <w:autoSpaceDN w:val="0"/>
              <w:bidi w:val="0"/>
              <w:snapToGrid w:val="0"/>
              <w:spacing w:line="400" w:lineRule="exact"/>
              <w:jc w:val="center"/>
              <w:textAlignment w:val="auto"/>
              <w:rPr>
                <w:color w:val="000000"/>
                <w:kern w:val="2"/>
                <w:sz w:val="21"/>
                <w:szCs w:val="24"/>
              </w:rPr>
            </w:pPr>
            <w:r>
              <w:rPr>
                <w:color w:val="000000"/>
                <w:kern w:val="2"/>
                <w:sz w:val="21"/>
                <w:szCs w:val="24"/>
              </w:rPr>
              <w:t>资质要求</w:t>
            </w:r>
          </w:p>
        </w:tc>
        <w:tc>
          <w:tcPr>
            <w:tcW w:w="8222" w:type="dxa"/>
            <w:noWrap w:val="0"/>
            <w:vAlign w:val="center"/>
          </w:tcPr>
          <w:p w14:paraId="2E8481D3">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1. 具备独立法人资格及有效的企业法人营业执照；</w:t>
            </w:r>
          </w:p>
          <w:p w14:paraId="18204B0E">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2. 具备交通运输</w:t>
            </w:r>
            <w:r>
              <w:rPr>
                <w:rFonts w:hint="eastAsia"/>
                <w:color w:val="000000"/>
                <w:kern w:val="2"/>
                <w:sz w:val="21"/>
                <w:szCs w:val="24"/>
                <w:lang w:val="en-US" w:eastAsia="zh-CN"/>
              </w:rPr>
              <w:t>部门</w:t>
            </w:r>
            <w:r>
              <w:rPr>
                <w:rFonts w:hint="eastAsia"/>
                <w:color w:val="000000"/>
                <w:kern w:val="2"/>
                <w:sz w:val="21"/>
                <w:szCs w:val="24"/>
              </w:rPr>
              <w:t>核发的公路</w:t>
            </w:r>
            <w:r>
              <w:rPr>
                <w:rFonts w:hint="eastAsia"/>
                <w:color w:val="000000"/>
                <w:kern w:val="2"/>
                <w:sz w:val="21"/>
                <w:szCs w:val="24"/>
                <w:lang w:eastAsia="zh-CN"/>
              </w:rPr>
              <w:t>水运</w:t>
            </w:r>
            <w:r>
              <w:rPr>
                <w:rFonts w:hint="eastAsia"/>
                <w:color w:val="000000"/>
                <w:kern w:val="2"/>
                <w:sz w:val="21"/>
                <w:szCs w:val="24"/>
              </w:rPr>
              <w:t>工程试验检测机构</w:t>
            </w:r>
            <w:r>
              <w:rPr>
                <w:rFonts w:hint="eastAsia"/>
                <w:color w:val="000000"/>
                <w:kern w:val="2"/>
                <w:sz w:val="21"/>
                <w:szCs w:val="24"/>
                <w:lang w:eastAsia="zh-CN"/>
              </w:rPr>
              <w:t>公路工程</w:t>
            </w:r>
            <w:r>
              <w:rPr>
                <w:rFonts w:hint="eastAsia"/>
                <w:color w:val="000000"/>
                <w:kern w:val="2"/>
                <w:sz w:val="21"/>
                <w:szCs w:val="24"/>
              </w:rPr>
              <w:t>综合</w:t>
            </w:r>
            <w:r>
              <w:rPr>
                <w:rFonts w:hint="eastAsia"/>
                <w:color w:val="000000"/>
                <w:kern w:val="2"/>
                <w:sz w:val="21"/>
                <w:szCs w:val="24"/>
                <w:lang w:val="en-US" w:eastAsia="zh-CN"/>
              </w:rPr>
              <w:t>甲级资质或公路工程桥梁隧道工程专项资质</w:t>
            </w:r>
            <w:r>
              <w:rPr>
                <w:rFonts w:hint="eastAsia"/>
                <w:color w:val="000000"/>
                <w:kern w:val="2"/>
                <w:sz w:val="21"/>
                <w:szCs w:val="24"/>
              </w:rPr>
              <w:t>；</w:t>
            </w:r>
          </w:p>
          <w:p w14:paraId="32C6EE1E">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3. 具有省级以上质量技术监督机构颁发的有效计量认证资质证。</w:t>
            </w:r>
          </w:p>
        </w:tc>
      </w:tr>
      <w:tr w14:paraId="65F5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75729D91">
            <w:pPr>
              <w:pageBreakBefore w:val="0"/>
              <w:kinsoku/>
              <w:overflowPunct/>
              <w:topLinePunct w:val="0"/>
              <w:autoSpaceDE w:val="0"/>
              <w:autoSpaceDN w:val="0"/>
              <w:bidi w:val="0"/>
              <w:snapToGrid w:val="0"/>
              <w:spacing w:line="400" w:lineRule="exact"/>
              <w:jc w:val="center"/>
              <w:textAlignment w:val="auto"/>
              <w:rPr>
                <w:color w:val="000000"/>
                <w:kern w:val="2"/>
                <w:sz w:val="21"/>
                <w:szCs w:val="24"/>
              </w:rPr>
            </w:pPr>
            <w:r>
              <w:rPr>
                <w:color w:val="000000"/>
                <w:kern w:val="2"/>
                <w:sz w:val="21"/>
                <w:szCs w:val="24"/>
              </w:rPr>
              <w:t>业绩要求</w:t>
            </w:r>
          </w:p>
        </w:tc>
        <w:tc>
          <w:tcPr>
            <w:tcW w:w="8222" w:type="dxa"/>
            <w:noWrap w:val="0"/>
            <w:vAlign w:val="center"/>
          </w:tcPr>
          <w:p w14:paraId="126592C5">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投标人在近5年内（</w:t>
            </w:r>
            <w:r>
              <w:rPr>
                <w:rFonts w:hint="eastAsia"/>
                <w:color w:val="000000"/>
                <w:kern w:val="2"/>
                <w:sz w:val="21"/>
                <w:szCs w:val="24"/>
                <w:lang w:val="en-US" w:eastAsia="zh-CN"/>
              </w:rPr>
              <w:t>2020年2月1日至投标截止日</w:t>
            </w:r>
            <w:r>
              <w:rPr>
                <w:rFonts w:hint="eastAsia"/>
                <w:color w:val="000000"/>
                <w:kern w:val="2"/>
                <w:sz w:val="21"/>
                <w:szCs w:val="24"/>
              </w:rPr>
              <w:t>，以交工时间为准），至少独立完成过1座单跨跨径1</w:t>
            </w:r>
            <w:r>
              <w:rPr>
                <w:rFonts w:hint="eastAsia"/>
                <w:color w:val="000000"/>
                <w:kern w:val="2"/>
                <w:sz w:val="21"/>
                <w:szCs w:val="24"/>
                <w:lang w:val="en-US" w:eastAsia="zh-CN"/>
              </w:rPr>
              <w:t>0</w:t>
            </w:r>
            <w:r>
              <w:rPr>
                <w:rFonts w:hint="eastAsia"/>
                <w:color w:val="000000"/>
                <w:kern w:val="2"/>
                <w:sz w:val="21"/>
                <w:szCs w:val="24"/>
              </w:rPr>
              <w:t>0米及以上桥梁（桥型为</w:t>
            </w:r>
            <w:r>
              <w:rPr>
                <w:rFonts w:hint="eastAsia"/>
                <w:color w:val="000000"/>
                <w:kern w:val="2"/>
                <w:sz w:val="21"/>
                <w:szCs w:val="24"/>
                <w:lang w:val="en-US" w:eastAsia="zh-CN"/>
              </w:rPr>
              <w:t>变截面连续箱</w:t>
            </w:r>
            <w:r>
              <w:rPr>
                <w:rFonts w:hint="eastAsia"/>
                <w:color w:val="000000"/>
                <w:kern w:val="2"/>
                <w:sz w:val="21"/>
                <w:szCs w:val="24"/>
              </w:rPr>
              <w:t>桥</w:t>
            </w:r>
            <w:r>
              <w:rPr>
                <w:rFonts w:hint="eastAsia"/>
                <w:color w:val="000000"/>
                <w:kern w:val="2"/>
                <w:sz w:val="21"/>
                <w:szCs w:val="24"/>
                <w:lang w:val="en-US" w:eastAsia="zh-CN"/>
              </w:rPr>
              <w:t>或</w:t>
            </w:r>
            <w:r>
              <w:rPr>
                <w:rFonts w:hint="eastAsia"/>
                <w:color w:val="000000"/>
                <w:kern w:val="2"/>
                <w:sz w:val="21"/>
                <w:szCs w:val="24"/>
              </w:rPr>
              <w:t>连续刚构桥）的施工监控工作。</w:t>
            </w:r>
          </w:p>
        </w:tc>
      </w:tr>
      <w:tr w14:paraId="6CF4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37EE3CED">
            <w:pPr>
              <w:pageBreakBefore w:val="0"/>
              <w:kinsoku/>
              <w:overflowPunct/>
              <w:topLinePunct w:val="0"/>
              <w:autoSpaceDE w:val="0"/>
              <w:autoSpaceDN w:val="0"/>
              <w:bidi w:val="0"/>
              <w:snapToGrid w:val="0"/>
              <w:spacing w:line="400" w:lineRule="exact"/>
              <w:jc w:val="center"/>
              <w:textAlignment w:val="auto"/>
              <w:rPr>
                <w:color w:val="000000"/>
                <w:kern w:val="2"/>
                <w:sz w:val="21"/>
                <w:szCs w:val="24"/>
              </w:rPr>
            </w:pPr>
            <w:r>
              <w:rPr>
                <w:color w:val="000000"/>
                <w:kern w:val="2"/>
                <w:sz w:val="21"/>
                <w:szCs w:val="24"/>
              </w:rPr>
              <w:t>主要人员要求</w:t>
            </w:r>
          </w:p>
        </w:tc>
        <w:tc>
          <w:tcPr>
            <w:tcW w:w="8222" w:type="dxa"/>
            <w:noWrap w:val="0"/>
            <w:vAlign w:val="center"/>
          </w:tcPr>
          <w:p w14:paraId="065125C6">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项目负责人（1名）：具有桥梁或公路与桥梁专业高级及以上技术职称，至少担任过1座单跨跨径1</w:t>
            </w:r>
            <w:r>
              <w:rPr>
                <w:rFonts w:hint="eastAsia"/>
                <w:color w:val="000000"/>
                <w:kern w:val="2"/>
                <w:sz w:val="21"/>
                <w:szCs w:val="24"/>
                <w:lang w:val="en-US" w:eastAsia="zh-CN"/>
              </w:rPr>
              <w:t>0</w:t>
            </w:r>
            <w:r>
              <w:rPr>
                <w:rFonts w:hint="eastAsia"/>
                <w:color w:val="000000"/>
                <w:kern w:val="2"/>
                <w:sz w:val="21"/>
                <w:szCs w:val="24"/>
              </w:rPr>
              <w:t>0米及以上桥梁（桥型为</w:t>
            </w:r>
            <w:r>
              <w:rPr>
                <w:rFonts w:hint="eastAsia"/>
                <w:color w:val="000000"/>
                <w:kern w:val="2"/>
                <w:sz w:val="21"/>
                <w:szCs w:val="24"/>
                <w:lang w:val="en-US" w:eastAsia="zh-CN"/>
              </w:rPr>
              <w:t>变截面连续箱</w:t>
            </w:r>
            <w:r>
              <w:rPr>
                <w:rFonts w:hint="eastAsia"/>
                <w:color w:val="000000"/>
                <w:kern w:val="2"/>
                <w:sz w:val="21"/>
                <w:szCs w:val="24"/>
              </w:rPr>
              <w:t>桥</w:t>
            </w:r>
            <w:r>
              <w:rPr>
                <w:rFonts w:hint="eastAsia"/>
                <w:color w:val="000000"/>
                <w:kern w:val="2"/>
                <w:sz w:val="21"/>
                <w:szCs w:val="24"/>
                <w:lang w:val="en-US" w:eastAsia="zh-CN"/>
              </w:rPr>
              <w:t>或</w:t>
            </w:r>
            <w:r>
              <w:rPr>
                <w:rFonts w:hint="eastAsia"/>
                <w:color w:val="000000"/>
                <w:kern w:val="2"/>
                <w:sz w:val="21"/>
                <w:szCs w:val="24"/>
              </w:rPr>
              <w:t>连续刚构桥）的施工监控项目负责人。</w:t>
            </w:r>
          </w:p>
        </w:tc>
      </w:tr>
      <w:tr w14:paraId="7BAF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noWrap w:val="0"/>
            <w:vAlign w:val="center"/>
          </w:tcPr>
          <w:p w14:paraId="12DA17C7">
            <w:pPr>
              <w:pageBreakBefore w:val="0"/>
              <w:kinsoku/>
              <w:overflowPunct/>
              <w:topLinePunct w:val="0"/>
              <w:autoSpaceDE w:val="0"/>
              <w:autoSpaceDN w:val="0"/>
              <w:bidi w:val="0"/>
              <w:snapToGrid w:val="0"/>
              <w:spacing w:line="400" w:lineRule="exact"/>
              <w:jc w:val="center"/>
              <w:textAlignment w:val="auto"/>
              <w:rPr>
                <w:color w:val="000000"/>
                <w:kern w:val="2"/>
                <w:sz w:val="21"/>
                <w:szCs w:val="24"/>
              </w:rPr>
            </w:pPr>
            <w:r>
              <w:rPr>
                <w:color w:val="000000"/>
                <w:kern w:val="2"/>
                <w:sz w:val="21"/>
                <w:szCs w:val="24"/>
              </w:rPr>
              <w:t>企业信誉</w:t>
            </w:r>
          </w:p>
        </w:tc>
        <w:tc>
          <w:tcPr>
            <w:tcW w:w="8222" w:type="dxa"/>
            <w:noWrap w:val="0"/>
            <w:vAlign w:val="center"/>
          </w:tcPr>
          <w:p w14:paraId="58AB43D5">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投标人存在下列不良状况或不良信用记录的单位，不得参加投标：</w:t>
            </w:r>
          </w:p>
          <w:p w14:paraId="7F5B1916">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1.凡被交通运输部或陕西省交通运输主管部门取消或暂停在陕西省投标资格且在处罚期内的单位无资格参与本项目投标；</w:t>
            </w:r>
          </w:p>
          <w:p w14:paraId="7E2BBE96">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2.被责令停业，暂扣或吊销执照，或吊销资质证书；</w:t>
            </w:r>
          </w:p>
          <w:p w14:paraId="1D85C864">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3.进入清算程序，或被宣告破产，或其他丧失履约能力的情形；</w:t>
            </w:r>
          </w:p>
          <w:p w14:paraId="24A2BD87">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4.在国家企业信用信息公示系统（</w:t>
            </w:r>
            <w:r>
              <w:rPr>
                <w:color w:val="000000"/>
              </w:rPr>
              <w:fldChar w:fldCharType="begin"/>
            </w:r>
            <w:r>
              <w:rPr>
                <w:color w:val="000000"/>
              </w:rPr>
              <w:instrText xml:space="preserve"> HYPERLINK "http://www.gsxt.gov.cn/" \h </w:instrText>
            </w:r>
            <w:r>
              <w:rPr>
                <w:color w:val="000000"/>
              </w:rPr>
              <w:fldChar w:fldCharType="separate"/>
            </w:r>
            <w:r>
              <w:rPr>
                <w:rStyle w:val="12"/>
                <w:rFonts w:hint="eastAsia"/>
                <w:color w:val="000000"/>
                <w:kern w:val="2"/>
                <w:sz w:val="21"/>
                <w:szCs w:val="24"/>
              </w:rPr>
              <w:t>http://www.gsxt.gov.cn/</w:t>
            </w:r>
            <w:r>
              <w:rPr>
                <w:rStyle w:val="12"/>
                <w:rFonts w:hint="eastAsia"/>
                <w:color w:val="000000"/>
                <w:kern w:val="2"/>
                <w:sz w:val="21"/>
                <w:szCs w:val="24"/>
              </w:rPr>
              <w:fldChar w:fldCharType="end"/>
            </w:r>
            <w:r>
              <w:rPr>
                <w:rFonts w:hint="eastAsia"/>
                <w:color w:val="000000"/>
                <w:kern w:val="2"/>
                <w:sz w:val="21"/>
                <w:szCs w:val="24"/>
              </w:rPr>
              <w:t>）中被列入严重违法失信企业 名单；在“信用中国”网站（</w:t>
            </w:r>
            <w:r>
              <w:rPr>
                <w:color w:val="000000"/>
              </w:rPr>
              <w:fldChar w:fldCharType="begin"/>
            </w:r>
            <w:r>
              <w:rPr>
                <w:color w:val="000000"/>
              </w:rPr>
              <w:instrText xml:space="preserve"> HYPERLINK "http://www.creditchina.gov.cn/" \h </w:instrText>
            </w:r>
            <w:r>
              <w:rPr>
                <w:color w:val="000000"/>
              </w:rPr>
              <w:fldChar w:fldCharType="separate"/>
            </w:r>
            <w:r>
              <w:rPr>
                <w:rStyle w:val="12"/>
                <w:rFonts w:hint="eastAsia"/>
                <w:color w:val="000000"/>
                <w:kern w:val="2"/>
                <w:sz w:val="21"/>
                <w:szCs w:val="24"/>
              </w:rPr>
              <w:t>http://www.creditchina.gov.cn/</w:t>
            </w:r>
            <w:r>
              <w:rPr>
                <w:rStyle w:val="12"/>
                <w:rFonts w:hint="eastAsia"/>
                <w:color w:val="000000"/>
                <w:kern w:val="2"/>
                <w:sz w:val="21"/>
                <w:szCs w:val="24"/>
              </w:rPr>
              <w:fldChar w:fldCharType="end"/>
            </w:r>
            <w:r>
              <w:rPr>
                <w:rFonts w:hint="eastAsia"/>
                <w:color w:val="000000"/>
                <w:kern w:val="2"/>
                <w:sz w:val="21"/>
                <w:szCs w:val="24"/>
              </w:rPr>
              <w:t>）中被列入失信被执行人名单；</w:t>
            </w:r>
          </w:p>
          <w:p w14:paraId="39E4705F">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5.投标人及其法定代表人、拟委任的项目负责人在近三年内有行贿犯罪行为的（行贿犯罪行为的认定以中国裁判文书网查询的结果为准）；</w:t>
            </w:r>
          </w:p>
          <w:p w14:paraId="33085FC1">
            <w:pPr>
              <w:pageBreakBefore w:val="0"/>
              <w:kinsoku/>
              <w:overflowPunct/>
              <w:topLinePunct w:val="0"/>
              <w:autoSpaceDE w:val="0"/>
              <w:autoSpaceDN w:val="0"/>
              <w:bidi w:val="0"/>
              <w:snapToGrid w:val="0"/>
              <w:spacing w:line="400" w:lineRule="exact"/>
              <w:jc w:val="both"/>
              <w:textAlignment w:val="auto"/>
              <w:rPr>
                <w:color w:val="000000"/>
                <w:kern w:val="2"/>
                <w:sz w:val="21"/>
                <w:szCs w:val="24"/>
              </w:rPr>
            </w:pPr>
            <w:r>
              <w:rPr>
                <w:rFonts w:hint="eastAsia"/>
                <w:color w:val="000000"/>
                <w:kern w:val="2"/>
                <w:sz w:val="21"/>
                <w:szCs w:val="24"/>
              </w:rPr>
              <w:t>6. 法律法规规定的其他情形。</w:t>
            </w:r>
          </w:p>
        </w:tc>
      </w:tr>
    </w:tbl>
    <w:p w14:paraId="58C0C0CF">
      <w:pPr>
        <w:keepNext w:val="0"/>
        <w:keepLines w:val="0"/>
        <w:pageBreakBefore w:val="0"/>
        <w:widowControl w:val="0"/>
        <w:kinsoku/>
        <w:wordWrap/>
        <w:overflowPunct/>
        <w:topLinePunct w:val="0"/>
        <w:bidi w:val="0"/>
        <w:adjustRightInd/>
        <w:spacing w:line="480" w:lineRule="exact"/>
        <w:ind w:firstLine="480" w:firstLineChars="200"/>
        <w:jc w:val="both"/>
        <w:textAlignment w:val="auto"/>
        <w:rPr>
          <w:color w:val="000000"/>
          <w:kern w:val="2"/>
          <w:sz w:val="24"/>
          <w:szCs w:val="24"/>
        </w:rPr>
      </w:pPr>
      <w:r>
        <w:rPr>
          <w:rFonts w:hint="eastAsia"/>
          <w:color w:val="000000"/>
          <w:kern w:val="2"/>
          <w:sz w:val="24"/>
          <w:szCs w:val="24"/>
        </w:rPr>
        <w:t>3.2 本次招标 不接受 联合体投标；</w:t>
      </w:r>
    </w:p>
    <w:p w14:paraId="178C3C54">
      <w:pPr>
        <w:keepNext w:val="0"/>
        <w:keepLines w:val="0"/>
        <w:pageBreakBefore w:val="0"/>
        <w:widowControl w:val="0"/>
        <w:kinsoku/>
        <w:wordWrap/>
        <w:overflowPunct/>
        <w:topLinePunct w:val="0"/>
        <w:bidi w:val="0"/>
        <w:adjustRightInd/>
        <w:spacing w:line="480" w:lineRule="exact"/>
        <w:ind w:firstLine="480" w:firstLineChars="200"/>
        <w:jc w:val="both"/>
        <w:textAlignment w:val="auto"/>
        <w:rPr>
          <w:color w:val="000000"/>
          <w:kern w:val="2"/>
          <w:sz w:val="24"/>
          <w:szCs w:val="24"/>
        </w:rPr>
      </w:pPr>
      <w:r>
        <w:rPr>
          <w:rFonts w:hint="eastAsia"/>
          <w:color w:val="000000"/>
          <w:kern w:val="2"/>
          <w:sz w:val="24"/>
          <w:szCs w:val="24"/>
        </w:rPr>
        <w:t>3.3 与招标人存在利害关系可能影响招标公正性的单位，不得参加投标。单位 负责人为同一人或存在控股、管理关系的不同单位，不得参加同一标段投标，否则， 相关投标均无效。</w:t>
      </w:r>
    </w:p>
    <w:p w14:paraId="1F2AC726">
      <w:pPr>
        <w:keepNext w:val="0"/>
        <w:keepLines w:val="0"/>
        <w:pageBreakBefore w:val="0"/>
        <w:widowControl w:val="0"/>
        <w:kinsoku/>
        <w:wordWrap/>
        <w:overflowPunct/>
        <w:topLinePunct w:val="0"/>
        <w:bidi w:val="0"/>
        <w:adjustRightInd/>
        <w:spacing w:line="480" w:lineRule="exact"/>
        <w:ind w:firstLine="480" w:firstLineChars="200"/>
        <w:jc w:val="both"/>
        <w:textAlignment w:val="auto"/>
        <w:rPr>
          <w:rFonts w:hint="eastAsia"/>
          <w:color w:val="000000"/>
          <w:kern w:val="2"/>
          <w:sz w:val="24"/>
          <w:szCs w:val="24"/>
        </w:rPr>
      </w:pPr>
      <w:r>
        <w:rPr>
          <w:rFonts w:hint="eastAsia"/>
          <w:color w:val="000000"/>
          <w:kern w:val="2"/>
          <w:sz w:val="24"/>
          <w:szCs w:val="24"/>
        </w:rPr>
        <w:t>3.4 本次招标采用资格后审，投标人自行判断是否符合招标公告要求并决定是 否参加投标。</w:t>
      </w:r>
    </w:p>
    <w:p w14:paraId="2B1A3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14:paraId="2C27571E">
      <w:pPr>
        <w:rPr>
          <w:rFonts w:hint="eastAsia" w:ascii="宋体" w:hAnsi="宋体" w:eastAsia="宋体" w:cs="宋体"/>
          <w:sz w:val="32"/>
          <w:szCs w:val="32"/>
        </w:rPr>
      </w:pPr>
      <w:r>
        <w:rPr>
          <w:rFonts w:hint="eastAsia" w:ascii="宋体" w:hAnsi="宋体" w:eastAsia="宋体" w:cs="宋体"/>
          <w:sz w:val="32"/>
          <w:szCs w:val="32"/>
        </w:rPr>
        <w:br w:type="page"/>
      </w:r>
    </w:p>
    <w:p w14:paraId="7F9465A4">
      <w:pPr>
        <w:spacing w:before="240" w:beforeLines="100" w:after="240" w:afterLines="100"/>
        <w:jc w:val="center"/>
        <w:outlineLvl w:val="1"/>
        <w:rPr>
          <w:b/>
          <w:bCs/>
          <w:color w:val="000000" w:themeColor="text1"/>
          <w:sz w:val="44"/>
          <w:szCs w:val="44"/>
          <w14:textFill>
            <w14:solidFill>
              <w14:schemeClr w14:val="tx1"/>
            </w14:solidFill>
          </w14:textFill>
        </w:rPr>
      </w:pPr>
      <w:bookmarkStart w:id="6" w:name="_Toc234832863"/>
      <w:bookmarkStart w:id="7" w:name="_Toc510015669"/>
      <w:r>
        <w:rPr>
          <w:rFonts w:eastAsia="黑体"/>
          <w:color w:val="000000" w:themeColor="text1"/>
          <w:sz w:val="28"/>
          <w:szCs w:val="28"/>
          <w14:textFill>
            <w14:solidFill>
              <w14:schemeClr w14:val="tx1"/>
            </w14:solidFill>
          </w14:textFill>
        </w:rPr>
        <w:t>附录1  资格审查条件（资质最低要求）</w:t>
      </w:r>
      <w:bookmarkEnd w:id="6"/>
      <w:bookmarkEnd w:id="7"/>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422"/>
      </w:tblGrid>
      <w:tr w14:paraId="5F44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2E7600BA">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标段</w:t>
            </w:r>
          </w:p>
        </w:tc>
        <w:tc>
          <w:tcPr>
            <w:tcW w:w="7422" w:type="dxa"/>
            <w:tcBorders>
              <w:top w:val="single" w:color="auto" w:sz="4" w:space="0"/>
              <w:left w:val="single" w:color="auto" w:sz="4" w:space="0"/>
              <w:bottom w:val="single" w:color="auto" w:sz="4" w:space="0"/>
              <w:right w:val="single" w:color="auto" w:sz="4" w:space="0"/>
            </w:tcBorders>
            <w:vAlign w:val="center"/>
          </w:tcPr>
          <w:p w14:paraId="5A86088C">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企业资质等级要求</w:t>
            </w:r>
          </w:p>
        </w:tc>
      </w:tr>
      <w:tr w14:paraId="5524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5C4F3608">
            <w:pPr>
              <w:snapToGrid w:val="0"/>
              <w:spacing w:line="400" w:lineRule="atLeast"/>
              <w:jc w:val="center"/>
              <w:rPr>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CLGJK</w:t>
            </w:r>
          </w:p>
        </w:tc>
        <w:tc>
          <w:tcPr>
            <w:tcW w:w="7422" w:type="dxa"/>
            <w:tcBorders>
              <w:top w:val="single" w:color="auto" w:sz="4" w:space="0"/>
              <w:left w:val="single" w:color="auto" w:sz="4" w:space="0"/>
              <w:bottom w:val="single" w:color="auto" w:sz="4" w:space="0"/>
              <w:right w:val="single" w:color="auto" w:sz="4" w:space="0"/>
            </w:tcBorders>
            <w:vAlign w:val="center"/>
          </w:tcPr>
          <w:p w14:paraId="3A4B51AA">
            <w:pPr>
              <w:spacing w:line="4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具备独立法人资格及有效的企业法人营业执照</w:t>
            </w:r>
            <w:r>
              <w:rPr>
                <w:color w:val="000000" w:themeColor="text1"/>
                <w:sz w:val="24"/>
                <w:szCs w:val="24"/>
                <w14:textFill>
                  <w14:solidFill>
                    <w14:schemeClr w14:val="tx1"/>
                  </w14:solidFill>
                </w14:textFill>
              </w:rPr>
              <w:t>；</w:t>
            </w:r>
          </w:p>
          <w:p w14:paraId="751412BC">
            <w:pPr>
              <w:spacing w:line="400" w:lineRule="exact"/>
              <w:ind w:firstLine="480" w:firstLineChars="200"/>
              <w:jc w:val="both"/>
              <w:rPr>
                <w:color w:val="000000" w:themeColor="text1"/>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具备交通运输</w:t>
            </w:r>
            <w:r>
              <w:rPr>
                <w:rFonts w:hint="eastAsia" w:cs="宋体"/>
                <w:color w:val="000000" w:themeColor="text1"/>
                <w:sz w:val="24"/>
                <w:szCs w:val="24"/>
                <w:highlight w:val="none"/>
                <w:lang w:val="en-US" w:eastAsia="zh-CN"/>
                <w14:textFill>
                  <w14:solidFill>
                    <w14:schemeClr w14:val="tx1"/>
                  </w14:solidFill>
                </w14:textFill>
              </w:rPr>
              <w:t>部门</w:t>
            </w:r>
            <w:r>
              <w:rPr>
                <w:rFonts w:hint="eastAsia" w:cs="宋体"/>
                <w:color w:val="000000" w:themeColor="text1"/>
                <w:sz w:val="24"/>
                <w:szCs w:val="24"/>
                <w:highlight w:val="none"/>
                <w14:textFill>
                  <w14:solidFill>
                    <w14:schemeClr w14:val="tx1"/>
                  </w14:solidFill>
                </w14:textFill>
              </w:rPr>
              <w:t>核发的公路</w:t>
            </w:r>
            <w:r>
              <w:rPr>
                <w:rFonts w:hint="eastAsia" w:cs="宋体"/>
                <w:color w:val="000000" w:themeColor="text1"/>
                <w:sz w:val="24"/>
                <w:szCs w:val="24"/>
                <w:highlight w:val="none"/>
                <w:lang w:eastAsia="zh-CN"/>
                <w14:textFill>
                  <w14:solidFill>
                    <w14:schemeClr w14:val="tx1"/>
                  </w14:solidFill>
                </w14:textFill>
              </w:rPr>
              <w:t>水运</w:t>
            </w:r>
            <w:r>
              <w:rPr>
                <w:rFonts w:hint="eastAsia" w:cs="宋体"/>
                <w:color w:val="000000" w:themeColor="text1"/>
                <w:sz w:val="24"/>
                <w:szCs w:val="24"/>
                <w:highlight w:val="none"/>
                <w14:textFill>
                  <w14:solidFill>
                    <w14:schemeClr w14:val="tx1"/>
                  </w14:solidFill>
                </w14:textFill>
              </w:rPr>
              <w:t>工程试验检测机构</w:t>
            </w:r>
            <w:r>
              <w:rPr>
                <w:rFonts w:hint="eastAsia" w:cs="宋体"/>
                <w:color w:val="000000" w:themeColor="text1"/>
                <w:sz w:val="24"/>
                <w:szCs w:val="24"/>
                <w:highlight w:val="none"/>
                <w:lang w:eastAsia="zh-CN"/>
                <w14:textFill>
                  <w14:solidFill>
                    <w14:schemeClr w14:val="tx1"/>
                  </w14:solidFill>
                </w14:textFill>
              </w:rPr>
              <w:t>公路工程</w:t>
            </w:r>
            <w:r>
              <w:rPr>
                <w:rFonts w:hint="eastAsia" w:cs="宋体"/>
                <w:color w:val="000000" w:themeColor="text1"/>
                <w:sz w:val="24"/>
                <w:szCs w:val="24"/>
                <w:highlight w:val="none"/>
                <w14:textFill>
                  <w14:solidFill>
                    <w14:schemeClr w14:val="tx1"/>
                  </w14:solidFill>
                </w14:textFill>
              </w:rPr>
              <w:t>综合</w:t>
            </w:r>
            <w:r>
              <w:rPr>
                <w:rFonts w:hint="eastAsia" w:cs="宋体"/>
                <w:color w:val="000000" w:themeColor="text1"/>
                <w:sz w:val="24"/>
                <w:szCs w:val="24"/>
                <w:highlight w:val="none"/>
                <w:lang w:val="en-US" w:eastAsia="zh-CN"/>
                <w14:textFill>
                  <w14:solidFill>
                    <w14:schemeClr w14:val="tx1"/>
                  </w14:solidFill>
                </w14:textFill>
              </w:rPr>
              <w:t>甲级资质或公路工程桥梁隧道工程专项资质；</w:t>
            </w:r>
          </w:p>
          <w:p w14:paraId="09356605">
            <w:pPr>
              <w:spacing w:line="4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3、具有省级以上质量技术监督机构颁发的有效计量认证资质证书；</w:t>
            </w:r>
          </w:p>
        </w:tc>
      </w:tr>
    </w:tbl>
    <w:p w14:paraId="7FBBF8AC">
      <w:pPr>
        <w:snapToGrid w:val="0"/>
        <w:spacing w:line="300" w:lineRule="exact"/>
        <w:rPr>
          <w:rFonts w:eastAsia="隶书"/>
          <w:b/>
          <w:color w:val="000000" w:themeColor="text1"/>
          <w:kern w:val="2"/>
          <w:sz w:val="32"/>
          <w:szCs w:val="24"/>
          <w14:textFill>
            <w14:solidFill>
              <w14:schemeClr w14:val="tx1"/>
            </w14:solidFill>
          </w14:textFill>
        </w:rPr>
      </w:pPr>
    </w:p>
    <w:p w14:paraId="7E057D71">
      <w:pPr>
        <w:snapToGrid w:val="0"/>
        <w:spacing w:line="300" w:lineRule="exact"/>
        <w:rPr>
          <w:rFonts w:eastAsia="隶书"/>
          <w:b/>
          <w:color w:val="000000" w:themeColor="text1"/>
          <w:sz w:val="32"/>
          <w14:textFill>
            <w14:solidFill>
              <w14:schemeClr w14:val="tx1"/>
            </w14:solidFill>
          </w14:textFill>
        </w:rPr>
      </w:pPr>
    </w:p>
    <w:p w14:paraId="171B50C5">
      <w:pPr>
        <w:spacing w:before="240" w:beforeLines="100" w:after="240" w:afterLines="100"/>
        <w:jc w:val="center"/>
        <w:outlineLvl w:val="1"/>
        <w:rPr>
          <w:rFonts w:eastAsia="黑体"/>
          <w:color w:val="000000" w:themeColor="text1"/>
          <w:sz w:val="28"/>
          <w:szCs w:val="28"/>
          <w14:textFill>
            <w14:solidFill>
              <w14:schemeClr w14:val="tx1"/>
            </w14:solidFill>
          </w14:textFill>
        </w:rPr>
      </w:pPr>
      <w:bookmarkStart w:id="8" w:name="_Toc510015670"/>
      <w:bookmarkStart w:id="9" w:name="_Toc234832865"/>
      <w:r>
        <w:rPr>
          <w:rFonts w:eastAsia="黑体"/>
          <w:color w:val="000000" w:themeColor="text1"/>
          <w:sz w:val="28"/>
          <w:szCs w:val="28"/>
          <w14:textFill>
            <w14:solidFill>
              <w14:schemeClr w14:val="tx1"/>
            </w14:solidFill>
          </w14:textFill>
        </w:rPr>
        <w:t>附录2  资格审查条件（业绩最低要求）</w:t>
      </w:r>
      <w:bookmarkEnd w:id="8"/>
      <w:bookmarkEnd w:id="9"/>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50"/>
      </w:tblGrid>
      <w:tr w14:paraId="0481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23A5A318">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标段</w:t>
            </w:r>
          </w:p>
        </w:tc>
        <w:tc>
          <w:tcPr>
            <w:tcW w:w="7250" w:type="dxa"/>
            <w:tcBorders>
              <w:top w:val="single" w:color="auto" w:sz="4" w:space="0"/>
              <w:left w:val="single" w:color="auto" w:sz="4" w:space="0"/>
              <w:bottom w:val="single" w:color="auto" w:sz="4" w:space="0"/>
              <w:right w:val="single" w:color="auto" w:sz="4" w:space="0"/>
            </w:tcBorders>
            <w:vAlign w:val="center"/>
          </w:tcPr>
          <w:p w14:paraId="0343C015">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业 绩 要 求</w:t>
            </w:r>
          </w:p>
        </w:tc>
      </w:tr>
      <w:tr w14:paraId="1B97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1665C050">
            <w:pPr>
              <w:snapToGrid w:val="0"/>
              <w:spacing w:line="400" w:lineRule="atLeast"/>
              <w:jc w:val="center"/>
              <w:rPr>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CLGJK</w:t>
            </w:r>
          </w:p>
        </w:tc>
        <w:tc>
          <w:tcPr>
            <w:tcW w:w="7250" w:type="dxa"/>
            <w:tcBorders>
              <w:top w:val="single" w:color="auto" w:sz="4" w:space="0"/>
              <w:left w:val="single" w:color="auto" w:sz="4" w:space="0"/>
              <w:bottom w:val="single" w:color="auto" w:sz="4" w:space="0"/>
              <w:right w:val="single" w:color="auto" w:sz="4" w:space="0"/>
            </w:tcBorders>
            <w:vAlign w:val="center"/>
          </w:tcPr>
          <w:p w14:paraId="2894B797">
            <w:pPr>
              <w:spacing w:line="400" w:lineRule="exact"/>
              <w:ind w:firstLine="480" w:firstLineChars="200"/>
              <w:jc w:val="both"/>
              <w:rPr>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highlight w:val="none"/>
                <w:lang w:val="en-US" w:eastAsia="zh-CN"/>
                <w14:textFill>
                  <w14:solidFill>
                    <w14:schemeClr w14:val="tx1"/>
                  </w14:solidFill>
                </w14:textFill>
              </w:rPr>
              <w:t>投标人在近5年内（2020年2月1日至投标截止日，以交工时间为准，下同），至少独立完成过1座单跨跨径100米及以上的桥梁（桥型为变截面连续箱桥或连续刚构桥）的施工监控工作。</w:t>
            </w:r>
          </w:p>
        </w:tc>
      </w:tr>
    </w:tbl>
    <w:p w14:paraId="1E021621">
      <w:pPr>
        <w:rPr>
          <w:rFonts w:eastAsia="黑体"/>
          <w:color w:val="000000" w:themeColor="text1"/>
          <w:sz w:val="28"/>
          <w:szCs w:val="28"/>
          <w14:textFill>
            <w14:solidFill>
              <w14:schemeClr w14:val="tx1"/>
            </w14:solidFill>
          </w14:textFill>
        </w:rPr>
      </w:pPr>
      <w:bookmarkStart w:id="10" w:name="_Toc510015671"/>
      <w:bookmarkStart w:id="11" w:name="_Toc234832866"/>
      <w:r>
        <w:rPr>
          <w:rFonts w:eastAsia="黑体"/>
          <w:color w:val="000000" w:themeColor="text1"/>
          <w:sz w:val="28"/>
          <w:szCs w:val="28"/>
          <w14:textFill>
            <w14:solidFill>
              <w14:schemeClr w14:val="tx1"/>
            </w14:solidFill>
          </w14:textFill>
        </w:rPr>
        <w:br w:type="page"/>
      </w:r>
    </w:p>
    <w:p w14:paraId="20A507E0">
      <w:pPr>
        <w:spacing w:before="240" w:beforeLines="100" w:after="240" w:afterLines="100"/>
        <w:jc w:val="center"/>
        <w:outlineLvl w:val="1"/>
        <w:rPr>
          <w:rFonts w:eastAsia="黑体"/>
          <w:b/>
          <w:bCs/>
          <w:color w:val="000000" w:themeColor="text1"/>
          <w:szCs w:val="28"/>
          <w14:textFill>
            <w14:solidFill>
              <w14:schemeClr w14:val="tx1"/>
            </w14:solidFill>
          </w14:textFill>
        </w:rPr>
      </w:pPr>
      <w:r>
        <w:rPr>
          <w:rFonts w:eastAsia="黑体"/>
          <w:color w:val="000000" w:themeColor="text1"/>
          <w:sz w:val="28"/>
          <w:szCs w:val="28"/>
          <w14:textFill>
            <w14:solidFill>
              <w14:schemeClr w14:val="tx1"/>
            </w14:solidFill>
          </w14:textFill>
        </w:rPr>
        <w:t>附录3  资格审查条件（信誉最低要求）</w:t>
      </w:r>
      <w:bookmarkEnd w:id="10"/>
      <w:bookmarkEnd w:id="11"/>
    </w:p>
    <w:tbl>
      <w:tblPr>
        <w:tblStyle w:val="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48"/>
      </w:tblGrid>
      <w:tr w14:paraId="3439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14ADF79F">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标段</w:t>
            </w:r>
          </w:p>
        </w:tc>
        <w:tc>
          <w:tcPr>
            <w:tcW w:w="7248" w:type="dxa"/>
            <w:tcBorders>
              <w:top w:val="single" w:color="auto" w:sz="4" w:space="0"/>
              <w:left w:val="single" w:color="auto" w:sz="4" w:space="0"/>
              <w:bottom w:val="single" w:color="auto" w:sz="4" w:space="0"/>
              <w:right w:val="single" w:color="auto" w:sz="4" w:space="0"/>
            </w:tcBorders>
            <w:vAlign w:val="center"/>
          </w:tcPr>
          <w:p w14:paraId="6167BDDC">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信 誉 要 求</w:t>
            </w:r>
          </w:p>
        </w:tc>
      </w:tr>
      <w:tr w14:paraId="7757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15D9A0FD">
            <w:pPr>
              <w:snapToGrid w:val="0"/>
              <w:spacing w:line="400" w:lineRule="atLeast"/>
              <w:jc w:val="center"/>
              <w:rPr>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CL</w:t>
            </w:r>
            <w:r>
              <w:rPr>
                <w:rFonts w:ascii="Times New Roman" w:hAnsi="Times New Roman" w:cs="Times New Roman"/>
                <w:color w:val="000000" w:themeColor="text1"/>
                <w:sz w:val="24"/>
                <w:szCs w:val="24"/>
                <w14:textFill>
                  <w14:solidFill>
                    <w14:schemeClr w14:val="tx1"/>
                  </w14:solidFill>
                </w14:textFill>
              </w:rPr>
              <w:t>GJK</w:t>
            </w:r>
          </w:p>
        </w:tc>
        <w:tc>
          <w:tcPr>
            <w:tcW w:w="7248" w:type="dxa"/>
            <w:tcBorders>
              <w:top w:val="single" w:color="auto" w:sz="4" w:space="0"/>
              <w:left w:val="single" w:color="auto" w:sz="4" w:space="0"/>
              <w:bottom w:val="single" w:color="auto" w:sz="4" w:space="0"/>
              <w:right w:val="single" w:color="auto" w:sz="4" w:space="0"/>
            </w:tcBorders>
            <w:vAlign w:val="center"/>
          </w:tcPr>
          <w:p w14:paraId="207577A0">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投标人存在下列不良状况或不良信用记录的单位，不得参加投标：</w:t>
            </w:r>
          </w:p>
          <w:p w14:paraId="0C534040">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1、凡被交通运输部或陕西省交通运输主管部门取消或暂停在陕西省投标资格且在处罚期内的单位无资格参与本项目投标；</w:t>
            </w:r>
          </w:p>
          <w:p w14:paraId="584F9473">
            <w:pPr>
              <w:spacing w:line="400" w:lineRule="exact"/>
              <w:ind w:firstLine="475" w:firstLineChars="198"/>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、被责令停业，暂扣或吊销执照，或吊销资质证书；</w:t>
            </w:r>
          </w:p>
          <w:p w14:paraId="223B55A0">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3、进入清算程序，或被宣告破产，或其他丧失履约能力的情形；</w:t>
            </w:r>
          </w:p>
          <w:p w14:paraId="5D759A85">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4、在国家企业信用信息公示系统（http://www.gsxt.gov.cn/）中被列入严重违法失信企业名单；在“信用中国”网站（http://www.creditchina.gov.cn/）中被列入失信被执行人名单；</w:t>
            </w:r>
          </w:p>
          <w:p w14:paraId="090BF5D8">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5、投标人及其法定代表人、拟委任的项目负责人在近三年内有行贿犯罪行为的（行贿犯罪行为的认定以中国裁判文书网查询的结果为准）；</w:t>
            </w:r>
          </w:p>
          <w:p w14:paraId="5BF07933">
            <w:pPr>
              <w:spacing w:line="400" w:lineRule="exact"/>
              <w:ind w:firstLine="475" w:firstLineChars="19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6、法律法规规定的其他情形。</w:t>
            </w:r>
          </w:p>
        </w:tc>
      </w:tr>
    </w:tbl>
    <w:p w14:paraId="55FF1245">
      <w:pPr>
        <w:snapToGrid w:val="0"/>
        <w:spacing w:line="300" w:lineRule="exact"/>
        <w:rPr>
          <w:rFonts w:eastAsia="隶书"/>
          <w:color w:val="000000" w:themeColor="text1"/>
          <w:kern w:val="2"/>
          <w:sz w:val="32"/>
          <w:szCs w:val="24"/>
          <w14:textFill>
            <w14:solidFill>
              <w14:schemeClr w14:val="tx1"/>
            </w14:solidFill>
          </w14:textFill>
        </w:rPr>
      </w:pPr>
    </w:p>
    <w:p w14:paraId="4C60C76F">
      <w:pPr>
        <w:snapToGrid w:val="0"/>
        <w:spacing w:line="300" w:lineRule="auto"/>
        <w:rPr>
          <w:bCs/>
          <w:color w:val="000000" w:themeColor="text1"/>
          <w14:textFill>
            <w14:solidFill>
              <w14:schemeClr w14:val="tx1"/>
            </w14:solidFill>
          </w14:textFill>
        </w:rPr>
      </w:pPr>
    </w:p>
    <w:p w14:paraId="5BA1188E">
      <w:pPr>
        <w:spacing w:before="240" w:beforeLines="100" w:after="240" w:afterLines="100"/>
        <w:jc w:val="center"/>
        <w:outlineLvl w:val="1"/>
        <w:rPr>
          <w:rFonts w:eastAsia="黑体"/>
          <w:b/>
          <w:bCs/>
          <w:color w:val="000000" w:themeColor="text1"/>
          <w:szCs w:val="28"/>
          <w14:textFill>
            <w14:solidFill>
              <w14:schemeClr w14:val="tx1"/>
            </w14:solidFill>
          </w14:textFill>
        </w:rPr>
      </w:pPr>
      <w:bookmarkStart w:id="12" w:name="_Toc510015672"/>
      <w:bookmarkStart w:id="13" w:name="_Toc234832867"/>
      <w:r>
        <w:rPr>
          <w:rFonts w:eastAsia="黑体"/>
          <w:color w:val="000000" w:themeColor="text1"/>
          <w:sz w:val="28"/>
          <w:szCs w:val="28"/>
          <w14:textFill>
            <w14:solidFill>
              <w14:schemeClr w14:val="tx1"/>
            </w14:solidFill>
          </w14:textFill>
        </w:rPr>
        <w:t>附录4  资格审查条件（项目负责人最低要求）</w:t>
      </w:r>
      <w:bookmarkEnd w:id="12"/>
      <w:bookmarkEnd w:id="13"/>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801"/>
        <w:gridCol w:w="1174"/>
        <w:gridCol w:w="3951"/>
      </w:tblGrid>
      <w:tr w14:paraId="0EE8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78" w:type="dxa"/>
            <w:tcBorders>
              <w:top w:val="single" w:color="auto" w:sz="4" w:space="0"/>
              <w:left w:val="single" w:color="auto" w:sz="4" w:space="0"/>
              <w:bottom w:val="single" w:color="auto" w:sz="4" w:space="0"/>
              <w:right w:val="single" w:color="auto" w:sz="4" w:space="0"/>
            </w:tcBorders>
            <w:vAlign w:val="center"/>
          </w:tcPr>
          <w:p w14:paraId="1DE0258C">
            <w:pPr>
              <w:snapToGrid w:val="0"/>
              <w:spacing w:line="40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标段</w:t>
            </w:r>
          </w:p>
        </w:tc>
        <w:tc>
          <w:tcPr>
            <w:tcW w:w="1801" w:type="dxa"/>
            <w:tcBorders>
              <w:top w:val="single" w:color="auto" w:sz="4" w:space="0"/>
              <w:left w:val="single" w:color="auto" w:sz="4" w:space="0"/>
              <w:bottom w:val="single" w:color="auto" w:sz="4" w:space="0"/>
              <w:right w:val="single" w:color="auto" w:sz="4" w:space="0"/>
            </w:tcBorders>
            <w:vAlign w:val="center"/>
          </w:tcPr>
          <w:p w14:paraId="61727497">
            <w:pPr>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人  员</w:t>
            </w:r>
          </w:p>
        </w:tc>
        <w:tc>
          <w:tcPr>
            <w:tcW w:w="1174" w:type="dxa"/>
            <w:tcBorders>
              <w:top w:val="single" w:color="auto" w:sz="4" w:space="0"/>
              <w:left w:val="single" w:color="auto" w:sz="4" w:space="0"/>
              <w:bottom w:val="single" w:color="auto" w:sz="4" w:space="0"/>
              <w:right w:val="single" w:color="auto" w:sz="4" w:space="0"/>
            </w:tcBorders>
            <w:vAlign w:val="center"/>
          </w:tcPr>
          <w:p w14:paraId="3349A7B9">
            <w:pPr>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数量</w:t>
            </w:r>
          </w:p>
        </w:tc>
        <w:tc>
          <w:tcPr>
            <w:tcW w:w="3951" w:type="dxa"/>
            <w:tcBorders>
              <w:top w:val="single" w:color="auto" w:sz="4" w:space="0"/>
              <w:left w:val="single" w:color="auto" w:sz="4" w:space="0"/>
              <w:bottom w:val="single" w:color="auto" w:sz="4" w:space="0"/>
              <w:right w:val="single" w:color="auto" w:sz="4" w:space="0"/>
            </w:tcBorders>
            <w:vAlign w:val="center"/>
          </w:tcPr>
          <w:p w14:paraId="3FD7DAC4">
            <w:pPr>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资 格 要 求</w:t>
            </w:r>
          </w:p>
        </w:tc>
      </w:tr>
      <w:tr w14:paraId="651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2078" w:type="dxa"/>
            <w:tcBorders>
              <w:top w:val="single" w:color="auto" w:sz="4" w:space="0"/>
              <w:left w:val="single" w:color="auto" w:sz="4" w:space="0"/>
              <w:bottom w:val="single" w:color="auto" w:sz="4" w:space="0"/>
              <w:right w:val="single" w:color="auto" w:sz="4" w:space="0"/>
            </w:tcBorders>
            <w:vAlign w:val="center"/>
          </w:tcPr>
          <w:p w14:paraId="4FFD10D2">
            <w:pPr>
              <w:snapToGrid w:val="0"/>
              <w:spacing w:line="400" w:lineRule="atLeast"/>
              <w:jc w:val="center"/>
              <w:rPr>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CLGJK</w:t>
            </w:r>
          </w:p>
        </w:tc>
        <w:tc>
          <w:tcPr>
            <w:tcW w:w="1801" w:type="dxa"/>
            <w:tcBorders>
              <w:top w:val="single" w:color="auto" w:sz="4" w:space="0"/>
              <w:left w:val="single" w:color="auto" w:sz="4" w:space="0"/>
              <w:bottom w:val="single" w:color="auto" w:sz="4" w:space="0"/>
              <w:right w:val="single" w:color="auto" w:sz="4" w:space="0"/>
            </w:tcBorders>
            <w:vAlign w:val="center"/>
          </w:tcPr>
          <w:p w14:paraId="7E464739">
            <w:pPr>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项目负责人</w:t>
            </w:r>
          </w:p>
        </w:tc>
        <w:tc>
          <w:tcPr>
            <w:tcW w:w="1174" w:type="dxa"/>
            <w:tcBorders>
              <w:top w:val="single" w:color="auto" w:sz="4" w:space="0"/>
              <w:left w:val="single" w:color="auto" w:sz="4" w:space="0"/>
              <w:bottom w:val="single" w:color="auto" w:sz="4" w:space="0"/>
              <w:right w:val="single" w:color="auto" w:sz="4" w:space="0"/>
            </w:tcBorders>
            <w:vAlign w:val="center"/>
          </w:tcPr>
          <w:p w14:paraId="78693B2B">
            <w:pPr>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3951" w:type="dxa"/>
            <w:tcBorders>
              <w:top w:val="single" w:color="auto" w:sz="4" w:space="0"/>
              <w:left w:val="single" w:color="auto" w:sz="4" w:space="0"/>
              <w:bottom w:val="single" w:color="auto" w:sz="4" w:space="0"/>
              <w:right w:val="single" w:color="auto" w:sz="4" w:space="0"/>
            </w:tcBorders>
            <w:vAlign w:val="center"/>
          </w:tcPr>
          <w:p w14:paraId="7EB2FA09">
            <w:pPr>
              <w:snapToGrid w:val="0"/>
              <w:spacing w:line="400" w:lineRule="atLeast"/>
              <w:jc w:val="left"/>
              <w:rPr>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具有桥梁或公路与桥梁专业高级及以上技术职称，至少担任过1座单跨跨径1</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0米及以上的桥梁（桥型为变截面连续箱桥或连续刚构桥）的施工监控项目负责人。</w:t>
            </w:r>
          </w:p>
        </w:tc>
      </w:tr>
    </w:tbl>
    <w:p w14:paraId="226F5528">
      <w:pPr>
        <w:rPr>
          <w:rFonts w:hint="eastAsia" w:ascii="宋体" w:hAnsi="宋体" w:eastAsia="宋体" w:cs="宋体"/>
          <w:b/>
          <w:bCs/>
          <w:spacing w:val="-11"/>
          <w:sz w:val="24"/>
          <w:szCs w:val="24"/>
        </w:rPr>
      </w:pPr>
      <w:r>
        <w:rPr>
          <w:rFonts w:hint="eastAsia" w:ascii="宋体" w:hAnsi="宋体" w:eastAsia="宋体" w:cs="宋体"/>
          <w:b/>
          <w:bCs/>
          <w:spacing w:val="-11"/>
          <w:sz w:val="24"/>
          <w:szCs w:val="24"/>
        </w:rPr>
        <w:br w:type="page"/>
      </w:r>
    </w:p>
    <w:tbl>
      <w:tblPr>
        <w:tblStyle w:val="9"/>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16"/>
        <w:gridCol w:w="502"/>
        <w:gridCol w:w="1102"/>
        <w:gridCol w:w="1239"/>
        <w:gridCol w:w="781"/>
        <w:gridCol w:w="4013"/>
      </w:tblGrid>
      <w:tr w14:paraId="4513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3B74B88D">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条款号</w:t>
            </w:r>
          </w:p>
        </w:tc>
        <w:tc>
          <w:tcPr>
            <w:tcW w:w="4240" w:type="dxa"/>
            <w:gridSpan w:val="5"/>
            <w:tcBorders>
              <w:top w:val="single" w:color="auto" w:sz="4" w:space="0"/>
              <w:left w:val="single" w:color="auto" w:sz="4" w:space="0"/>
              <w:bottom w:val="single" w:color="auto" w:sz="4" w:space="0"/>
              <w:right w:val="single" w:color="auto" w:sz="4" w:space="0"/>
            </w:tcBorders>
          </w:tcPr>
          <w:p w14:paraId="14C22954">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评分因素与权重分值</w:t>
            </w:r>
            <w:r>
              <w:rPr>
                <w:b/>
                <w:color w:val="000000" w:themeColor="text1"/>
                <w:kern w:val="2"/>
                <w:sz w:val="24"/>
                <w:szCs w:val="24"/>
                <w:vertAlign w:val="superscript"/>
                <w14:textFill>
                  <w14:solidFill>
                    <w14:schemeClr w14:val="tx1"/>
                  </w14:solidFill>
                </w14:textFill>
              </w:rPr>
              <w:footnoteReference w:id="0"/>
            </w:r>
          </w:p>
        </w:tc>
        <w:tc>
          <w:tcPr>
            <w:tcW w:w="4013" w:type="dxa"/>
            <w:vMerge w:val="restart"/>
            <w:tcBorders>
              <w:top w:val="single" w:color="auto" w:sz="4" w:space="0"/>
              <w:left w:val="single" w:color="auto" w:sz="4" w:space="0"/>
              <w:bottom w:val="single" w:color="auto" w:sz="4" w:space="0"/>
              <w:right w:val="single" w:color="auto" w:sz="4" w:space="0"/>
            </w:tcBorders>
            <w:vAlign w:val="center"/>
          </w:tcPr>
          <w:p w14:paraId="4F282E96">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评分标准</w:t>
            </w:r>
          </w:p>
        </w:tc>
      </w:tr>
      <w:tr w14:paraId="1AE4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50E57136">
            <w:pPr>
              <w:widowControl/>
              <w:adjustRightInd/>
              <w:spacing w:line="400" w:lineRule="exact"/>
              <w:textAlignment w:val="auto"/>
              <w:rPr>
                <w:b/>
                <w:color w:val="000000" w:themeColor="text1"/>
                <w:kern w:val="2"/>
                <w:sz w:val="24"/>
                <w:szCs w:val="24"/>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0CE38B97">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w:t>
            </w:r>
          </w:p>
          <w:p w14:paraId="70D35B9B">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因素</w:t>
            </w:r>
          </w:p>
        </w:tc>
        <w:tc>
          <w:tcPr>
            <w:tcW w:w="1102" w:type="dxa"/>
            <w:tcBorders>
              <w:top w:val="single" w:color="auto" w:sz="4" w:space="0"/>
              <w:left w:val="single" w:color="auto" w:sz="4" w:space="0"/>
              <w:bottom w:val="single" w:color="auto" w:sz="4" w:space="0"/>
              <w:right w:val="single" w:color="auto" w:sz="4" w:space="0"/>
            </w:tcBorders>
            <w:vAlign w:val="center"/>
          </w:tcPr>
          <w:p w14:paraId="63DADED9">
            <w:pPr>
              <w:widowControl/>
              <w:adjustRightInd/>
              <w:spacing w:line="400" w:lineRule="exact"/>
              <w:ind w:left="-105" w:leftChars="-50" w:right="-105" w:rightChars="-50"/>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评分因素权重分值</w:t>
            </w:r>
          </w:p>
        </w:tc>
        <w:tc>
          <w:tcPr>
            <w:tcW w:w="1239" w:type="dxa"/>
            <w:tcBorders>
              <w:top w:val="single" w:color="auto" w:sz="4" w:space="0"/>
              <w:left w:val="single" w:color="auto" w:sz="4" w:space="0"/>
              <w:bottom w:val="single" w:color="auto" w:sz="4" w:space="0"/>
              <w:right w:val="single" w:color="auto" w:sz="4" w:space="0"/>
            </w:tcBorders>
            <w:vAlign w:val="center"/>
          </w:tcPr>
          <w:p w14:paraId="3BFB1223">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各评分因素细分项</w:t>
            </w:r>
          </w:p>
        </w:tc>
        <w:tc>
          <w:tcPr>
            <w:tcW w:w="781" w:type="dxa"/>
            <w:tcBorders>
              <w:top w:val="single" w:color="auto" w:sz="4" w:space="0"/>
              <w:left w:val="single" w:color="auto" w:sz="4" w:space="0"/>
              <w:bottom w:val="single" w:color="auto" w:sz="4" w:space="0"/>
              <w:right w:val="single" w:color="auto" w:sz="4" w:space="0"/>
            </w:tcBorders>
            <w:vAlign w:val="center"/>
          </w:tcPr>
          <w:p w14:paraId="5A4904F3">
            <w:pPr>
              <w:widowControl/>
              <w:adjustRightInd/>
              <w:spacing w:line="400" w:lineRule="exact"/>
              <w:jc w:val="both"/>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分值</w:t>
            </w:r>
          </w:p>
        </w:tc>
        <w:tc>
          <w:tcPr>
            <w:tcW w:w="4013" w:type="dxa"/>
            <w:vMerge w:val="continue"/>
            <w:tcBorders>
              <w:top w:val="single" w:color="auto" w:sz="4" w:space="0"/>
              <w:left w:val="single" w:color="auto" w:sz="4" w:space="0"/>
              <w:bottom w:val="single" w:color="auto" w:sz="4" w:space="0"/>
              <w:right w:val="single" w:color="auto" w:sz="4" w:space="0"/>
            </w:tcBorders>
            <w:vAlign w:val="center"/>
          </w:tcPr>
          <w:p w14:paraId="1FEF2E1C">
            <w:pPr>
              <w:widowControl/>
              <w:adjustRightInd/>
              <w:spacing w:line="400" w:lineRule="exact"/>
              <w:textAlignment w:val="auto"/>
              <w:rPr>
                <w:b/>
                <w:color w:val="000000" w:themeColor="text1"/>
                <w:kern w:val="2"/>
                <w:sz w:val="24"/>
                <w:szCs w:val="24"/>
                <w14:textFill>
                  <w14:solidFill>
                    <w14:schemeClr w14:val="tx1"/>
                  </w14:solidFill>
                </w14:textFill>
              </w:rPr>
            </w:pPr>
          </w:p>
        </w:tc>
      </w:tr>
      <w:tr w14:paraId="3D97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tcBorders>
              <w:top w:val="single" w:color="auto" w:sz="4" w:space="0"/>
              <w:left w:val="single" w:color="auto" w:sz="4" w:space="0"/>
              <w:bottom w:val="single" w:color="auto" w:sz="4" w:space="0"/>
              <w:right w:val="single" w:color="auto" w:sz="4" w:space="0"/>
            </w:tcBorders>
            <w:vAlign w:val="center"/>
          </w:tcPr>
          <w:p w14:paraId="7ADF7E65">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2.2.4(1)</w:t>
            </w:r>
          </w:p>
        </w:tc>
        <w:tc>
          <w:tcPr>
            <w:tcW w:w="1118" w:type="dxa"/>
            <w:gridSpan w:val="2"/>
            <w:vMerge w:val="restart"/>
            <w:tcBorders>
              <w:top w:val="single" w:color="auto" w:sz="4" w:space="0"/>
              <w:left w:val="single" w:color="auto" w:sz="4" w:space="0"/>
              <w:bottom w:val="single" w:color="auto" w:sz="4" w:space="0"/>
              <w:right w:val="single" w:color="auto" w:sz="4" w:space="0"/>
            </w:tcBorders>
            <w:vAlign w:val="center"/>
          </w:tcPr>
          <w:p w14:paraId="2795FA5A">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技术</w:t>
            </w:r>
          </w:p>
          <w:p w14:paraId="59C3457C">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建议书</w:t>
            </w:r>
          </w:p>
        </w:tc>
        <w:tc>
          <w:tcPr>
            <w:tcW w:w="1102" w:type="dxa"/>
            <w:vMerge w:val="restart"/>
            <w:tcBorders>
              <w:top w:val="single" w:color="auto" w:sz="4" w:space="0"/>
              <w:left w:val="single" w:color="auto" w:sz="4" w:space="0"/>
              <w:bottom w:val="single" w:color="auto" w:sz="4" w:space="0"/>
              <w:right w:val="single" w:color="auto" w:sz="4" w:space="0"/>
            </w:tcBorders>
            <w:vAlign w:val="center"/>
          </w:tcPr>
          <w:p w14:paraId="13991655">
            <w:pPr>
              <w:widowControl/>
              <w:adjustRightInd/>
              <w:spacing w:line="400" w:lineRule="exact"/>
              <w:jc w:val="center"/>
              <w:textAlignment w:val="auto"/>
              <w:rPr>
                <w:color w:val="000000" w:themeColor="text1"/>
                <w:kern w:val="2"/>
                <w:sz w:val="24"/>
                <w:szCs w:val="24"/>
                <w:u w:val="single"/>
                <w14:textFill>
                  <w14:solidFill>
                    <w14:schemeClr w14:val="tx1"/>
                  </w14:solidFill>
                </w14:textFill>
              </w:rPr>
            </w:pPr>
            <w:r>
              <w:rPr>
                <w:color w:val="000000" w:themeColor="text1"/>
                <w:kern w:val="2"/>
                <w:sz w:val="24"/>
                <w:szCs w:val="24"/>
                <w:u w:val="single"/>
                <w14:textFill>
                  <w14:solidFill>
                    <w14:schemeClr w14:val="tx1"/>
                  </w14:solidFill>
                </w14:textFill>
              </w:rPr>
              <w:t>35</w:t>
            </w:r>
            <w:r>
              <w:rPr>
                <w:color w:val="000000" w:themeColor="text1"/>
                <w:kern w:val="2"/>
                <w:sz w:val="24"/>
                <w:szCs w:val="24"/>
                <w14:textFill>
                  <w14:solidFill>
                    <w14:schemeClr w14:val="tx1"/>
                  </w14:solidFill>
                </w14:textFill>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7488C64F">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施工监控</w:t>
            </w:r>
            <w:r>
              <w:rPr>
                <w:rFonts w:hint="eastAsia"/>
                <w:color w:val="000000" w:themeColor="text1"/>
                <w:kern w:val="2"/>
                <w:sz w:val="24"/>
                <w:szCs w:val="24"/>
                <w14:textFill>
                  <w14:solidFill>
                    <w14:schemeClr w14:val="tx1"/>
                  </w14:solidFill>
                </w14:textFill>
              </w:rPr>
              <w:t>计划</w:t>
            </w:r>
          </w:p>
        </w:tc>
        <w:tc>
          <w:tcPr>
            <w:tcW w:w="781" w:type="dxa"/>
            <w:tcBorders>
              <w:top w:val="single" w:color="auto" w:sz="4" w:space="0"/>
              <w:left w:val="single" w:color="auto" w:sz="4" w:space="0"/>
              <w:bottom w:val="single" w:color="auto" w:sz="4" w:space="0"/>
              <w:right w:val="single" w:color="auto" w:sz="4" w:space="0"/>
            </w:tcBorders>
            <w:vAlign w:val="center"/>
          </w:tcPr>
          <w:p w14:paraId="65CD02FC">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5900E175">
            <w:pPr>
              <w:tabs>
                <w:tab w:val="left" w:pos="0"/>
              </w:tabs>
              <w:spacing w:line="400" w:lineRule="exact"/>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a.监控计划较合理有效，基本可行得</w:t>
            </w:r>
            <w:r>
              <w:rPr>
                <w:color w:val="000000" w:themeColor="text1"/>
                <w:kern w:val="2"/>
                <w:sz w:val="24"/>
                <w:szCs w:val="24"/>
                <w14:textFill>
                  <w14:solidFill>
                    <w14:schemeClr w14:val="tx1"/>
                  </w14:solidFill>
                </w14:textFill>
              </w:rPr>
              <w:t>3</w:t>
            </w:r>
            <w:r>
              <w:rPr>
                <w:rFonts w:hint="eastAsia"/>
                <w:color w:val="000000" w:themeColor="text1"/>
                <w:kern w:val="2"/>
                <w:sz w:val="24"/>
                <w:szCs w:val="24"/>
                <w14:textFill>
                  <w14:solidFill>
                    <w14:schemeClr w14:val="tx1"/>
                  </w14:solidFill>
                </w14:textFill>
              </w:rPr>
              <w:t>~</w:t>
            </w:r>
            <w:r>
              <w:rPr>
                <w:color w:val="000000" w:themeColor="text1"/>
                <w:kern w:val="2"/>
                <w:sz w:val="24"/>
                <w:szCs w:val="24"/>
                <w14:textFill>
                  <w14:solidFill>
                    <w14:schemeClr w14:val="tx1"/>
                  </w14:solidFill>
                </w14:textFill>
              </w:rPr>
              <w:t>4</w:t>
            </w:r>
            <w:r>
              <w:rPr>
                <w:rFonts w:hint="eastAsia"/>
                <w:color w:val="000000" w:themeColor="text1"/>
                <w:kern w:val="2"/>
                <w:sz w:val="24"/>
                <w:szCs w:val="24"/>
                <w14:textFill>
                  <w14:solidFill>
                    <w14:schemeClr w14:val="tx1"/>
                  </w14:solidFill>
                </w14:textFill>
              </w:rPr>
              <w:t>分；</w:t>
            </w:r>
          </w:p>
          <w:p w14:paraId="21FDEA32">
            <w:pPr>
              <w:widowControl/>
              <w:spacing w:line="400" w:lineRule="exact"/>
              <w:jc w:val="both"/>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b.监控计划合理有效，可行得</w:t>
            </w:r>
            <w:r>
              <w:rPr>
                <w:color w:val="000000" w:themeColor="text1"/>
                <w:kern w:val="2"/>
                <w:sz w:val="24"/>
                <w:szCs w:val="24"/>
                <w14:textFill>
                  <w14:solidFill>
                    <w14:schemeClr w14:val="tx1"/>
                  </w14:solidFill>
                </w14:textFill>
              </w:rPr>
              <w:t>4</w:t>
            </w:r>
            <w:r>
              <w:rPr>
                <w:rFonts w:hint="eastAsia"/>
                <w:color w:val="000000" w:themeColor="text1"/>
                <w:kern w:val="2"/>
                <w:sz w:val="24"/>
                <w:szCs w:val="24"/>
                <w14:textFill>
                  <w14:solidFill>
                    <w14:schemeClr w14:val="tx1"/>
                  </w14:solidFill>
                </w14:textFill>
              </w:rPr>
              <w:t>~</w:t>
            </w:r>
            <w:r>
              <w:rPr>
                <w:color w:val="000000" w:themeColor="text1"/>
                <w:kern w:val="2"/>
                <w:sz w:val="24"/>
                <w:szCs w:val="24"/>
                <w14:textFill>
                  <w14:solidFill>
                    <w14:schemeClr w14:val="tx1"/>
                  </w14:solidFill>
                </w14:textFill>
              </w:rPr>
              <w:t>5</w:t>
            </w:r>
            <w:r>
              <w:rPr>
                <w:rFonts w:hint="eastAsia"/>
                <w:color w:val="000000" w:themeColor="text1"/>
                <w:kern w:val="2"/>
                <w:sz w:val="24"/>
                <w:szCs w:val="24"/>
                <w14:textFill>
                  <w14:solidFill>
                    <w14:schemeClr w14:val="tx1"/>
                  </w14:solidFill>
                </w14:textFill>
              </w:rPr>
              <w:t>分；</w:t>
            </w:r>
          </w:p>
        </w:tc>
      </w:tr>
      <w:tr w14:paraId="61E8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vAlign w:val="center"/>
          </w:tcPr>
          <w:p w14:paraId="4DD1C8D4">
            <w:pPr>
              <w:widowControl/>
              <w:adjustRightInd/>
              <w:spacing w:line="400" w:lineRule="exact"/>
              <w:jc w:val="center"/>
              <w:textAlignment w:val="auto"/>
              <w:rPr>
                <w:color w:val="000000" w:themeColor="text1"/>
                <w:kern w:val="2"/>
                <w:sz w:val="24"/>
                <w:szCs w:val="24"/>
                <w14:textFill>
                  <w14:solidFill>
                    <w14:schemeClr w14:val="tx1"/>
                  </w14:solidFill>
                </w14:textFill>
              </w:rPr>
            </w:pP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14:paraId="383072B1">
            <w:pPr>
              <w:widowControl/>
              <w:adjustRightInd/>
              <w:spacing w:line="400" w:lineRule="exact"/>
              <w:jc w:val="center"/>
              <w:textAlignment w:val="auto"/>
              <w:rPr>
                <w:color w:val="000000" w:themeColor="text1"/>
                <w:kern w:val="2"/>
                <w:sz w:val="24"/>
                <w:szCs w:val="24"/>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3289F9DB">
            <w:pPr>
              <w:widowControl/>
              <w:adjustRightInd/>
              <w:spacing w:line="400" w:lineRule="exact"/>
              <w:jc w:val="center"/>
              <w:textAlignment w:val="auto"/>
              <w:rPr>
                <w:color w:val="000000" w:themeColor="text1"/>
                <w:kern w:val="2"/>
                <w:sz w:val="24"/>
                <w:szCs w:val="24"/>
                <w:u w:val="singl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346B671">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施工监控方案</w:t>
            </w:r>
          </w:p>
        </w:tc>
        <w:tc>
          <w:tcPr>
            <w:tcW w:w="781" w:type="dxa"/>
            <w:tcBorders>
              <w:top w:val="single" w:color="auto" w:sz="4" w:space="0"/>
              <w:left w:val="single" w:color="auto" w:sz="4" w:space="0"/>
              <w:bottom w:val="single" w:color="auto" w:sz="4" w:space="0"/>
              <w:right w:val="single" w:color="auto" w:sz="4" w:space="0"/>
            </w:tcBorders>
            <w:vAlign w:val="center"/>
          </w:tcPr>
          <w:p w14:paraId="4D472341">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15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3F386638">
            <w:pPr>
              <w:widowControl/>
              <w:spacing w:line="400" w:lineRule="exact"/>
              <w:jc w:val="both"/>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a.监控方案基本合理可行，能反映了完整性、科学性、有效性得9~11分；</w:t>
            </w:r>
          </w:p>
          <w:p w14:paraId="3704745C">
            <w:pPr>
              <w:widowControl/>
              <w:spacing w:line="400" w:lineRule="exact"/>
              <w:jc w:val="both"/>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b.监控方案较合理可行，基本反映了完整性、科学性、有效性得11~13分；</w:t>
            </w:r>
          </w:p>
          <w:p w14:paraId="1A581CB1">
            <w:pPr>
              <w:widowControl/>
              <w:spacing w:line="400" w:lineRule="exact"/>
              <w:jc w:val="both"/>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c.监控方案合理可行，较好反映了完整性、科学性、有效性得13~15分；</w:t>
            </w:r>
          </w:p>
        </w:tc>
      </w:tr>
      <w:tr w14:paraId="75AE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vAlign w:val="center"/>
          </w:tcPr>
          <w:p w14:paraId="2582DF1F">
            <w:pPr>
              <w:widowControl/>
              <w:adjustRightInd/>
              <w:spacing w:line="400" w:lineRule="exact"/>
              <w:textAlignment w:val="auto"/>
              <w:rPr>
                <w:color w:val="000000" w:themeColor="text1"/>
                <w:kern w:val="2"/>
                <w:sz w:val="24"/>
                <w:szCs w:val="24"/>
                <w14:textFill>
                  <w14:solidFill>
                    <w14:schemeClr w14:val="tx1"/>
                  </w14:solidFill>
                </w14:textFill>
              </w:rPr>
            </w:pP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14:paraId="5BD17144">
            <w:pPr>
              <w:widowControl/>
              <w:adjustRightInd/>
              <w:spacing w:line="400" w:lineRule="exact"/>
              <w:textAlignment w:val="auto"/>
              <w:rPr>
                <w:color w:val="000000" w:themeColor="text1"/>
                <w:kern w:val="2"/>
                <w:sz w:val="24"/>
                <w:szCs w:val="24"/>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7E4D1DBB">
            <w:pPr>
              <w:widowControl/>
              <w:adjustRightInd/>
              <w:spacing w:line="400" w:lineRule="exact"/>
              <w:textAlignment w:val="auto"/>
              <w:rPr>
                <w:color w:val="000000" w:themeColor="text1"/>
                <w:kern w:val="2"/>
                <w:sz w:val="24"/>
                <w:szCs w:val="24"/>
                <w:u w:val="singl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D1535CD">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本工程监控工作的重点与难点分析及对策</w:t>
            </w:r>
          </w:p>
        </w:tc>
        <w:tc>
          <w:tcPr>
            <w:tcW w:w="781" w:type="dxa"/>
            <w:tcBorders>
              <w:top w:val="single" w:color="auto" w:sz="4" w:space="0"/>
              <w:left w:val="single" w:color="auto" w:sz="4" w:space="0"/>
              <w:bottom w:val="single" w:color="auto" w:sz="4" w:space="0"/>
              <w:right w:val="single" w:color="auto" w:sz="4" w:space="0"/>
            </w:tcBorders>
            <w:vAlign w:val="center"/>
          </w:tcPr>
          <w:p w14:paraId="03484A52">
            <w:pPr>
              <w:widowControl/>
              <w:adjustRightInd/>
              <w:spacing w:line="400" w:lineRule="exact"/>
              <w:ind w:right="-88"/>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08DDCE58">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对本工程重点、难点问题的把握程度及对策分析非常准确</w:t>
            </w:r>
            <w:r>
              <w:rPr>
                <w:rFonts w:hint="eastAsia"/>
                <w:color w:val="000000" w:themeColor="text1"/>
                <w:kern w:val="2"/>
                <w:sz w:val="24"/>
                <w:szCs w:val="24"/>
                <w14:textFill>
                  <w14:solidFill>
                    <w14:schemeClr w14:val="tx1"/>
                  </w14:solidFill>
                </w14:textFill>
              </w:rPr>
              <w:t>，</w:t>
            </w:r>
            <w:r>
              <w:rPr>
                <w:color w:val="000000" w:themeColor="text1"/>
                <w:kern w:val="2"/>
                <w:sz w:val="24"/>
                <w:szCs w:val="24"/>
                <w14:textFill>
                  <w14:solidFill>
                    <w14:schemeClr w14:val="tx1"/>
                  </w14:solidFill>
                </w14:textFill>
              </w:rPr>
              <w:t>对策有效可行的得4~5分，较准确</w:t>
            </w:r>
            <w:r>
              <w:rPr>
                <w:rFonts w:hint="eastAsia"/>
                <w:color w:val="000000" w:themeColor="text1"/>
                <w:kern w:val="2"/>
                <w:sz w:val="24"/>
                <w:szCs w:val="24"/>
                <w14:textFill>
                  <w14:solidFill>
                    <w14:schemeClr w14:val="tx1"/>
                  </w14:solidFill>
                </w14:textFill>
              </w:rPr>
              <w:t>、</w:t>
            </w:r>
            <w:r>
              <w:rPr>
                <w:color w:val="000000" w:themeColor="text1"/>
                <w:kern w:val="2"/>
                <w:sz w:val="24"/>
                <w:szCs w:val="24"/>
                <w14:textFill>
                  <w14:solidFill>
                    <w14:schemeClr w14:val="tx1"/>
                  </w14:solidFill>
                </w14:textFill>
              </w:rPr>
              <w:t>基本有效可行的得3~4分，基本准确</w:t>
            </w:r>
            <w:r>
              <w:rPr>
                <w:rFonts w:hint="eastAsia"/>
                <w:color w:val="000000" w:themeColor="text1"/>
                <w:kern w:val="2"/>
                <w:sz w:val="24"/>
                <w:szCs w:val="24"/>
                <w14:textFill>
                  <w14:solidFill>
                    <w14:schemeClr w14:val="tx1"/>
                  </w14:solidFill>
                </w14:textFill>
              </w:rPr>
              <w:t>、</w:t>
            </w:r>
            <w:r>
              <w:rPr>
                <w:color w:val="000000" w:themeColor="text1"/>
                <w:kern w:val="2"/>
                <w:sz w:val="24"/>
                <w:szCs w:val="24"/>
                <w14:textFill>
                  <w14:solidFill>
                    <w14:schemeClr w14:val="tx1"/>
                  </w14:solidFill>
                </w14:textFill>
              </w:rPr>
              <w:t>可行性一般得3分。</w:t>
            </w:r>
          </w:p>
        </w:tc>
      </w:tr>
      <w:tr w14:paraId="2613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vAlign w:val="center"/>
          </w:tcPr>
          <w:p w14:paraId="6E3C75B2">
            <w:pPr>
              <w:widowControl/>
              <w:adjustRightInd/>
              <w:spacing w:line="400" w:lineRule="exact"/>
              <w:textAlignment w:val="auto"/>
              <w:rPr>
                <w:color w:val="000000" w:themeColor="text1"/>
                <w:kern w:val="2"/>
                <w:sz w:val="24"/>
                <w:szCs w:val="24"/>
                <w14:textFill>
                  <w14:solidFill>
                    <w14:schemeClr w14:val="tx1"/>
                  </w14:solidFill>
                </w14:textFill>
              </w:rPr>
            </w:pP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14:paraId="52503713">
            <w:pPr>
              <w:widowControl/>
              <w:adjustRightInd/>
              <w:spacing w:line="400" w:lineRule="exact"/>
              <w:textAlignment w:val="auto"/>
              <w:rPr>
                <w:color w:val="000000" w:themeColor="text1"/>
                <w:kern w:val="2"/>
                <w:sz w:val="24"/>
                <w:szCs w:val="24"/>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27B1E889">
            <w:pPr>
              <w:widowControl/>
              <w:adjustRightInd/>
              <w:spacing w:line="400" w:lineRule="exact"/>
              <w:textAlignment w:val="auto"/>
              <w:rPr>
                <w:color w:val="000000" w:themeColor="text1"/>
                <w:kern w:val="2"/>
                <w:sz w:val="24"/>
                <w:szCs w:val="24"/>
                <w:u w:val="singl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5F7F9A6">
            <w:pPr>
              <w:adjustRightInd/>
              <w:spacing w:line="400" w:lineRule="exact"/>
              <w:jc w:val="center"/>
              <w:textAlignment w:val="auto"/>
              <w:rPr>
                <w:color w:val="000000" w:themeColor="text1"/>
                <w:kern w:val="2"/>
                <w:sz w:val="21"/>
                <w:szCs w:val="24"/>
                <w14:textFill>
                  <w14:solidFill>
                    <w14:schemeClr w14:val="tx1"/>
                  </w14:solidFill>
                </w14:textFill>
              </w:rPr>
            </w:pPr>
            <w:r>
              <w:rPr>
                <w:color w:val="000000" w:themeColor="text1"/>
                <w:kern w:val="2"/>
                <w:sz w:val="24"/>
                <w:szCs w:val="24"/>
                <w14:textFill>
                  <w14:solidFill>
                    <w14:schemeClr w14:val="tx1"/>
                  </w14:solidFill>
                </w14:textFill>
              </w:rPr>
              <w:t>施工监控仪器、设备及元件</w:t>
            </w:r>
          </w:p>
        </w:tc>
        <w:tc>
          <w:tcPr>
            <w:tcW w:w="781" w:type="dxa"/>
            <w:tcBorders>
              <w:top w:val="single" w:color="auto" w:sz="4" w:space="0"/>
              <w:left w:val="single" w:color="auto" w:sz="4" w:space="0"/>
              <w:bottom w:val="single" w:color="auto" w:sz="4" w:space="0"/>
              <w:right w:val="single" w:color="auto" w:sz="4" w:space="0"/>
            </w:tcBorders>
            <w:vAlign w:val="center"/>
          </w:tcPr>
          <w:p w14:paraId="73501B0D">
            <w:pPr>
              <w:widowControl/>
              <w:adjustRightInd/>
              <w:spacing w:line="400" w:lineRule="exact"/>
              <w:ind w:right="-88"/>
              <w:jc w:val="center"/>
              <w:textAlignment w:val="auto"/>
              <w:rPr>
                <w:color w:val="000000" w:themeColor="text1"/>
                <w:kern w:val="2"/>
                <w:sz w:val="24"/>
                <w:szCs w:val="24"/>
                <w:u w:val="single"/>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114EC7FC">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视拟投入本项目的监控设施和仪器的综合条件，有效可行，得4~5分；基本有效可行，得3~4分；可行性一般，得3分。</w:t>
            </w:r>
          </w:p>
        </w:tc>
      </w:tr>
      <w:tr w14:paraId="63C9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vAlign w:val="center"/>
          </w:tcPr>
          <w:p w14:paraId="439950D2">
            <w:pPr>
              <w:widowControl/>
              <w:adjustRightInd/>
              <w:spacing w:line="400" w:lineRule="exact"/>
              <w:textAlignment w:val="auto"/>
              <w:rPr>
                <w:color w:val="000000" w:themeColor="text1"/>
                <w:kern w:val="2"/>
                <w:sz w:val="24"/>
                <w:szCs w:val="24"/>
                <w14:textFill>
                  <w14:solidFill>
                    <w14:schemeClr w14:val="tx1"/>
                  </w14:solidFill>
                </w14:textFill>
              </w:rPr>
            </w:pPr>
          </w:p>
        </w:tc>
        <w:tc>
          <w:tcPr>
            <w:tcW w:w="1118" w:type="dxa"/>
            <w:gridSpan w:val="2"/>
            <w:vMerge w:val="continue"/>
            <w:tcBorders>
              <w:top w:val="single" w:color="auto" w:sz="4" w:space="0"/>
              <w:left w:val="single" w:color="auto" w:sz="4" w:space="0"/>
              <w:bottom w:val="single" w:color="auto" w:sz="4" w:space="0"/>
              <w:right w:val="single" w:color="auto" w:sz="4" w:space="0"/>
            </w:tcBorders>
            <w:vAlign w:val="center"/>
          </w:tcPr>
          <w:p w14:paraId="56896134">
            <w:pPr>
              <w:widowControl/>
              <w:adjustRightInd/>
              <w:spacing w:line="400" w:lineRule="exact"/>
              <w:textAlignment w:val="auto"/>
              <w:rPr>
                <w:color w:val="000000" w:themeColor="text1"/>
                <w:kern w:val="2"/>
                <w:sz w:val="24"/>
                <w:szCs w:val="24"/>
                <w14:textFill>
                  <w14:solidFill>
                    <w14:schemeClr w14:val="tx1"/>
                  </w14:solidFill>
                </w14:textFill>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3751C5C0">
            <w:pPr>
              <w:widowControl/>
              <w:adjustRightInd/>
              <w:spacing w:line="400" w:lineRule="exact"/>
              <w:textAlignment w:val="auto"/>
              <w:rPr>
                <w:color w:val="000000" w:themeColor="text1"/>
                <w:kern w:val="2"/>
                <w:sz w:val="24"/>
                <w:szCs w:val="24"/>
                <w:u w:val="singl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0BA6006">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对本工程的建议</w:t>
            </w:r>
          </w:p>
        </w:tc>
        <w:tc>
          <w:tcPr>
            <w:tcW w:w="781" w:type="dxa"/>
            <w:tcBorders>
              <w:top w:val="single" w:color="auto" w:sz="4" w:space="0"/>
              <w:left w:val="single" w:color="auto" w:sz="4" w:space="0"/>
              <w:bottom w:val="single" w:color="auto" w:sz="4" w:space="0"/>
              <w:right w:val="single" w:color="auto" w:sz="4" w:space="0"/>
            </w:tcBorders>
            <w:vAlign w:val="center"/>
          </w:tcPr>
          <w:p w14:paraId="7565402B">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6D252891">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对投标人所提建议的合理可行性、可实施性、项目针对性进行评分，很好得4~5分，较好得3~4分，一般得3分。</w:t>
            </w:r>
          </w:p>
        </w:tc>
      </w:tr>
      <w:tr w14:paraId="63EC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vAlign w:val="center"/>
          </w:tcPr>
          <w:p w14:paraId="71C303EB">
            <w:pPr>
              <w:widowControl/>
              <w:adjustRightInd/>
              <w:spacing w:line="400" w:lineRule="exact"/>
              <w:ind w:left="-92" w:leftChars="-44" w:right="-88" w:rightChars="-42"/>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2.2.4(2)</w:t>
            </w: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506CEF4D">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主要</w:t>
            </w:r>
          </w:p>
          <w:p w14:paraId="4257CDAC">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人员</w:t>
            </w:r>
          </w:p>
        </w:tc>
        <w:tc>
          <w:tcPr>
            <w:tcW w:w="1102" w:type="dxa"/>
            <w:tcBorders>
              <w:top w:val="single" w:color="auto" w:sz="4" w:space="0"/>
              <w:left w:val="single" w:color="auto" w:sz="4" w:space="0"/>
              <w:bottom w:val="single" w:color="auto" w:sz="4" w:space="0"/>
              <w:right w:val="single" w:color="auto" w:sz="4" w:space="0"/>
            </w:tcBorders>
            <w:vAlign w:val="center"/>
          </w:tcPr>
          <w:p w14:paraId="35A3EDCA">
            <w:pPr>
              <w:widowControl/>
              <w:adjustRightInd/>
              <w:spacing w:line="400" w:lineRule="exact"/>
              <w:jc w:val="right"/>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25</w:t>
            </w:r>
            <w:r>
              <w:rPr>
                <w:color w:val="000000" w:themeColor="text1"/>
                <w:kern w:val="2"/>
                <w:sz w:val="24"/>
                <w:szCs w:val="24"/>
                <w14:textFill>
                  <w14:solidFill>
                    <w14:schemeClr w14:val="tx1"/>
                  </w14:solidFill>
                </w14:textFill>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1F118E43">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项目负责人任职资格与业绩</w:t>
            </w:r>
          </w:p>
        </w:tc>
        <w:tc>
          <w:tcPr>
            <w:tcW w:w="781" w:type="dxa"/>
            <w:tcBorders>
              <w:top w:val="single" w:color="auto" w:sz="4" w:space="0"/>
              <w:left w:val="single" w:color="auto" w:sz="4" w:space="0"/>
              <w:bottom w:val="single" w:color="auto" w:sz="4" w:space="0"/>
              <w:right w:val="single" w:color="auto" w:sz="4" w:space="0"/>
            </w:tcBorders>
            <w:vAlign w:val="center"/>
          </w:tcPr>
          <w:p w14:paraId="322894C3">
            <w:pPr>
              <w:widowControl/>
              <w:adjustRightInd/>
              <w:spacing w:line="400" w:lineRule="exact"/>
              <w:ind w:right="-88"/>
              <w:jc w:val="center"/>
              <w:textAlignment w:val="auto"/>
              <w:rPr>
                <w:color w:val="auto"/>
                <w:kern w:val="2"/>
                <w:sz w:val="24"/>
                <w:szCs w:val="24"/>
              </w:rPr>
            </w:pPr>
            <w:r>
              <w:rPr>
                <w:color w:val="auto"/>
                <w:kern w:val="2"/>
                <w:sz w:val="24"/>
                <w:szCs w:val="24"/>
                <w:u w:val="single"/>
              </w:rPr>
              <w:t>25</w:t>
            </w:r>
            <w:r>
              <w:rPr>
                <w:color w:val="auto"/>
                <w:kern w:val="2"/>
                <w:sz w:val="24"/>
                <w:szCs w:val="24"/>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00B4FDF8">
            <w:pPr>
              <w:widowControl/>
              <w:adjustRightInd/>
              <w:spacing w:line="400" w:lineRule="exact"/>
              <w:jc w:val="both"/>
              <w:textAlignment w:val="auto"/>
              <w:rPr>
                <w:color w:val="auto"/>
                <w:kern w:val="2"/>
                <w:sz w:val="24"/>
                <w:szCs w:val="24"/>
              </w:rPr>
            </w:pPr>
            <w:r>
              <w:rPr>
                <w:color w:val="auto"/>
                <w:kern w:val="2"/>
                <w:sz w:val="24"/>
                <w:szCs w:val="24"/>
              </w:rPr>
              <w:t>(a)满足资格条件的，得基本分</w:t>
            </w:r>
            <w:r>
              <w:rPr>
                <w:rFonts w:hint="eastAsia"/>
                <w:color w:val="auto"/>
                <w:kern w:val="2"/>
                <w:sz w:val="24"/>
                <w:szCs w:val="24"/>
                <w:lang w:val="en-US" w:eastAsia="zh-CN"/>
              </w:rPr>
              <w:t>17</w:t>
            </w:r>
            <w:r>
              <w:rPr>
                <w:color w:val="auto"/>
                <w:kern w:val="2"/>
                <w:sz w:val="24"/>
                <w:szCs w:val="24"/>
              </w:rPr>
              <w:t>分；</w:t>
            </w:r>
          </w:p>
          <w:p w14:paraId="6D431BA8">
            <w:pPr>
              <w:widowControl/>
              <w:adjustRightInd/>
              <w:spacing w:line="400" w:lineRule="exact"/>
              <w:jc w:val="both"/>
              <w:textAlignment w:val="auto"/>
              <w:rPr>
                <w:color w:val="auto"/>
                <w:kern w:val="2"/>
                <w:sz w:val="24"/>
                <w:szCs w:val="24"/>
              </w:rPr>
            </w:pPr>
            <w:r>
              <w:rPr>
                <w:color w:val="auto"/>
                <w:kern w:val="2"/>
                <w:sz w:val="24"/>
                <w:szCs w:val="24"/>
              </w:rPr>
              <w:t>(b)在满足资格条件的基础上，每增加一项满足强制性要求的个人业绩，每增加1项加2分，最多加8分。</w:t>
            </w:r>
          </w:p>
        </w:tc>
      </w:tr>
      <w:tr w14:paraId="542B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vAlign w:val="center"/>
          </w:tcPr>
          <w:p w14:paraId="0EBC93BD">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2.2.4(3)</w:t>
            </w: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7BE920CC">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评标价</w:t>
            </w:r>
          </w:p>
        </w:tc>
        <w:tc>
          <w:tcPr>
            <w:tcW w:w="1102" w:type="dxa"/>
            <w:tcBorders>
              <w:top w:val="single" w:color="auto" w:sz="4" w:space="0"/>
              <w:left w:val="single" w:color="auto" w:sz="4" w:space="0"/>
              <w:bottom w:val="single" w:color="auto" w:sz="4" w:space="0"/>
              <w:right w:val="single" w:color="auto" w:sz="4" w:space="0"/>
            </w:tcBorders>
            <w:vAlign w:val="center"/>
          </w:tcPr>
          <w:p w14:paraId="5E42D29E">
            <w:pPr>
              <w:widowControl/>
              <w:adjustRightInd/>
              <w:spacing w:line="400" w:lineRule="exact"/>
              <w:jc w:val="right"/>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10</w:t>
            </w:r>
            <w:r>
              <w:rPr>
                <w:color w:val="000000" w:themeColor="text1"/>
                <w:kern w:val="2"/>
                <w:sz w:val="24"/>
                <w:szCs w:val="24"/>
                <w14:textFill>
                  <w14:solidFill>
                    <w14:schemeClr w14:val="tx1"/>
                  </w14:solidFill>
                </w14:textFill>
              </w:rPr>
              <w:t>分</w:t>
            </w:r>
          </w:p>
        </w:tc>
        <w:tc>
          <w:tcPr>
            <w:tcW w:w="6033" w:type="dxa"/>
            <w:gridSpan w:val="3"/>
            <w:tcBorders>
              <w:top w:val="single" w:color="auto" w:sz="4" w:space="0"/>
              <w:left w:val="single" w:color="auto" w:sz="4" w:space="0"/>
              <w:bottom w:val="single" w:color="auto" w:sz="4" w:space="0"/>
              <w:right w:val="single" w:color="auto" w:sz="4" w:space="0"/>
            </w:tcBorders>
          </w:tcPr>
          <w:p w14:paraId="6686B57D">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评标价得分计算公式：</w:t>
            </w:r>
          </w:p>
          <w:p w14:paraId="5EDAF8C9">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(1)如果投标人的评标价&gt;评标基准价，则评标价得分＝F－偏差率×100× E</w:t>
            </w:r>
            <w:r>
              <w:rPr>
                <w:color w:val="000000" w:themeColor="text1"/>
                <w:kern w:val="2"/>
                <w:sz w:val="24"/>
                <w:szCs w:val="24"/>
                <w:vertAlign w:val="subscript"/>
                <w14:textFill>
                  <w14:solidFill>
                    <w14:schemeClr w14:val="tx1"/>
                  </w14:solidFill>
                </w14:textFill>
              </w:rPr>
              <w:t>1</w:t>
            </w:r>
            <w:r>
              <w:rPr>
                <w:color w:val="000000" w:themeColor="text1"/>
                <w:kern w:val="2"/>
                <w:sz w:val="24"/>
                <w:szCs w:val="24"/>
                <w14:textFill>
                  <w14:solidFill>
                    <w14:schemeClr w14:val="tx1"/>
                  </w14:solidFill>
                </w14:textFill>
              </w:rPr>
              <w:t>；</w:t>
            </w:r>
          </w:p>
          <w:p w14:paraId="1045E31C">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(2)如果投标人的评标价≤评标基准价，则评标价得分＝F＋偏差率×100× E</w:t>
            </w:r>
            <w:r>
              <w:rPr>
                <w:color w:val="000000" w:themeColor="text1"/>
                <w:kern w:val="2"/>
                <w:sz w:val="24"/>
                <w:szCs w:val="24"/>
                <w:vertAlign w:val="subscript"/>
                <w14:textFill>
                  <w14:solidFill>
                    <w14:schemeClr w14:val="tx1"/>
                  </w14:solidFill>
                </w14:textFill>
              </w:rPr>
              <w:t>2</w:t>
            </w:r>
            <w:r>
              <w:rPr>
                <w:color w:val="000000" w:themeColor="text1"/>
                <w:kern w:val="2"/>
                <w:sz w:val="24"/>
                <w:szCs w:val="24"/>
                <w14:textFill>
                  <w14:solidFill>
                    <w14:schemeClr w14:val="tx1"/>
                  </w14:solidFill>
                </w14:textFill>
              </w:rPr>
              <w:t>。</w:t>
            </w:r>
          </w:p>
          <w:p w14:paraId="39573BF7">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其中：F是评标价所占的权重分值，E</w:t>
            </w:r>
            <w:r>
              <w:rPr>
                <w:color w:val="000000" w:themeColor="text1"/>
                <w:kern w:val="2"/>
                <w:sz w:val="24"/>
                <w:szCs w:val="24"/>
                <w:vertAlign w:val="subscript"/>
                <w14:textFill>
                  <w14:solidFill>
                    <w14:schemeClr w14:val="tx1"/>
                  </w14:solidFill>
                </w14:textFill>
              </w:rPr>
              <w:t>1</w:t>
            </w:r>
            <w:r>
              <w:rPr>
                <w:color w:val="000000" w:themeColor="text1"/>
                <w:kern w:val="2"/>
                <w:sz w:val="24"/>
                <w:szCs w:val="24"/>
                <w14:textFill>
                  <w14:solidFill>
                    <w14:schemeClr w14:val="tx1"/>
                  </w14:solidFill>
                </w14:textFill>
              </w:rPr>
              <w:t>是评标价每高于评标基准价一个百分点的扣分值，E</w:t>
            </w:r>
            <w:r>
              <w:rPr>
                <w:color w:val="000000" w:themeColor="text1"/>
                <w:kern w:val="2"/>
                <w:sz w:val="24"/>
                <w:szCs w:val="24"/>
                <w:vertAlign w:val="subscript"/>
                <w14:textFill>
                  <w14:solidFill>
                    <w14:schemeClr w14:val="tx1"/>
                  </w14:solidFill>
                </w14:textFill>
              </w:rPr>
              <w:t>2</w:t>
            </w:r>
            <w:r>
              <w:rPr>
                <w:color w:val="000000" w:themeColor="text1"/>
                <w:kern w:val="2"/>
                <w:sz w:val="24"/>
                <w:szCs w:val="24"/>
                <w14:textFill>
                  <w14:solidFill>
                    <w14:schemeClr w14:val="tx1"/>
                  </w14:solidFill>
                </w14:textFill>
              </w:rPr>
              <w:t>是评标价每低于评标基准价一个百分点的扣分值；</w:t>
            </w:r>
          </w:p>
          <w:p w14:paraId="2A78E28B">
            <w:pPr>
              <w:widowControl/>
              <w:adjustRightInd/>
              <w:spacing w:line="400" w:lineRule="exact"/>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E1=0.2，E2=0.1，F=10；评标价得分最低为0分。</w:t>
            </w:r>
          </w:p>
        </w:tc>
      </w:tr>
      <w:tr w14:paraId="0BD7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right w:val="single" w:color="auto" w:sz="4" w:space="0"/>
            </w:tcBorders>
            <w:vAlign w:val="center"/>
          </w:tcPr>
          <w:p w14:paraId="57A2364F">
            <w:pPr>
              <w:widowControl/>
              <w:spacing w:line="400" w:lineRule="exact"/>
              <w:jc w:val="center"/>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条款号</w:t>
            </w:r>
          </w:p>
        </w:tc>
        <w:tc>
          <w:tcPr>
            <w:tcW w:w="1118" w:type="dxa"/>
            <w:gridSpan w:val="2"/>
            <w:tcBorders>
              <w:top w:val="single" w:color="auto" w:sz="4" w:space="0"/>
              <w:left w:val="single" w:color="auto" w:sz="4" w:space="0"/>
              <w:bottom w:val="single" w:color="auto" w:sz="4" w:space="0"/>
              <w:right w:val="single" w:color="auto" w:sz="4" w:space="0"/>
            </w:tcBorders>
            <w:vAlign w:val="center"/>
          </w:tcPr>
          <w:p w14:paraId="08625199">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w:t>
            </w:r>
          </w:p>
          <w:p w14:paraId="06A1A529">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因素</w:t>
            </w:r>
          </w:p>
        </w:tc>
        <w:tc>
          <w:tcPr>
            <w:tcW w:w="1102" w:type="dxa"/>
            <w:tcBorders>
              <w:top w:val="single" w:color="auto" w:sz="4" w:space="0"/>
              <w:left w:val="single" w:color="auto" w:sz="4" w:space="0"/>
              <w:bottom w:val="single" w:color="auto" w:sz="4" w:space="0"/>
              <w:right w:val="single" w:color="auto" w:sz="4" w:space="0"/>
            </w:tcBorders>
            <w:vAlign w:val="center"/>
          </w:tcPr>
          <w:p w14:paraId="5666BEBB">
            <w:pPr>
              <w:widowControl/>
              <w:adjustRightInd/>
              <w:spacing w:line="400" w:lineRule="exact"/>
              <w:ind w:left="-105" w:leftChars="-50" w:right="-105" w:rightChars="-50"/>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评分因素权重分值</w:t>
            </w:r>
          </w:p>
        </w:tc>
        <w:tc>
          <w:tcPr>
            <w:tcW w:w="1239" w:type="dxa"/>
            <w:tcBorders>
              <w:top w:val="single" w:color="auto" w:sz="4" w:space="0"/>
              <w:left w:val="single" w:color="auto" w:sz="4" w:space="0"/>
              <w:bottom w:val="single" w:color="auto" w:sz="4" w:space="0"/>
              <w:right w:val="single" w:color="auto" w:sz="4" w:space="0"/>
            </w:tcBorders>
            <w:vAlign w:val="center"/>
          </w:tcPr>
          <w:p w14:paraId="4E00F5A3">
            <w:pPr>
              <w:widowControl/>
              <w:adjustRightInd/>
              <w:spacing w:line="400" w:lineRule="exact"/>
              <w:jc w:val="center"/>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各评分因素细分项</w:t>
            </w:r>
          </w:p>
        </w:tc>
        <w:tc>
          <w:tcPr>
            <w:tcW w:w="781" w:type="dxa"/>
            <w:tcBorders>
              <w:top w:val="single" w:color="auto" w:sz="4" w:space="0"/>
              <w:left w:val="single" w:color="auto" w:sz="4" w:space="0"/>
              <w:bottom w:val="single" w:color="auto" w:sz="4" w:space="0"/>
              <w:right w:val="single" w:color="auto" w:sz="4" w:space="0"/>
            </w:tcBorders>
            <w:vAlign w:val="center"/>
          </w:tcPr>
          <w:p w14:paraId="11FA5173">
            <w:pPr>
              <w:widowControl/>
              <w:adjustRightInd/>
              <w:spacing w:line="400" w:lineRule="exact"/>
              <w:jc w:val="right"/>
              <w:textAlignment w:val="auto"/>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分值</w:t>
            </w:r>
          </w:p>
        </w:tc>
        <w:tc>
          <w:tcPr>
            <w:tcW w:w="4013" w:type="dxa"/>
            <w:tcBorders>
              <w:top w:val="single" w:color="auto" w:sz="4" w:space="0"/>
              <w:left w:val="single" w:color="auto" w:sz="4" w:space="0"/>
              <w:bottom w:val="single" w:color="auto" w:sz="4" w:space="0"/>
              <w:right w:val="single" w:color="auto" w:sz="4" w:space="0"/>
            </w:tcBorders>
            <w:vAlign w:val="center"/>
          </w:tcPr>
          <w:p w14:paraId="7EC16888">
            <w:pPr>
              <w:widowControl/>
              <w:adjustRightInd/>
              <w:spacing w:line="400" w:lineRule="exact"/>
              <w:jc w:val="center"/>
              <w:textAlignment w:val="auto"/>
              <w:rPr>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评分标准</w:t>
            </w:r>
          </w:p>
        </w:tc>
      </w:tr>
      <w:tr w14:paraId="3553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tcBorders>
              <w:left w:val="single" w:color="auto" w:sz="4" w:space="0"/>
              <w:right w:val="single" w:color="auto" w:sz="4" w:space="0"/>
            </w:tcBorders>
            <w:vAlign w:val="center"/>
          </w:tcPr>
          <w:p w14:paraId="3088B425">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2.2.4(4)</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14:paraId="3A48FEE7">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其他因素</w:t>
            </w:r>
          </w:p>
        </w:tc>
        <w:tc>
          <w:tcPr>
            <w:tcW w:w="502" w:type="dxa"/>
            <w:tcBorders>
              <w:top w:val="single" w:color="auto" w:sz="4" w:space="0"/>
              <w:left w:val="single" w:color="auto" w:sz="4" w:space="0"/>
              <w:bottom w:val="single" w:color="auto" w:sz="4" w:space="0"/>
              <w:right w:val="single" w:color="auto" w:sz="4" w:space="0"/>
            </w:tcBorders>
            <w:vAlign w:val="center"/>
          </w:tcPr>
          <w:p w14:paraId="5D35B68C">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技术</w:t>
            </w:r>
          </w:p>
          <w:p w14:paraId="6B0E321A">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能力</w:t>
            </w:r>
          </w:p>
        </w:tc>
        <w:tc>
          <w:tcPr>
            <w:tcW w:w="1102" w:type="dxa"/>
            <w:tcBorders>
              <w:top w:val="single" w:color="auto" w:sz="4" w:space="0"/>
              <w:left w:val="single" w:color="auto" w:sz="4" w:space="0"/>
              <w:bottom w:val="single" w:color="auto" w:sz="4" w:space="0"/>
              <w:right w:val="single" w:color="auto" w:sz="4" w:space="0"/>
            </w:tcBorders>
            <w:vAlign w:val="center"/>
          </w:tcPr>
          <w:p w14:paraId="29EA2DF9">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579B1F26">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技术能力</w:t>
            </w:r>
          </w:p>
        </w:tc>
        <w:tc>
          <w:tcPr>
            <w:tcW w:w="781" w:type="dxa"/>
            <w:tcBorders>
              <w:top w:val="single" w:color="auto" w:sz="4" w:space="0"/>
              <w:left w:val="single" w:color="auto" w:sz="4" w:space="0"/>
              <w:bottom w:val="single" w:color="auto" w:sz="4" w:space="0"/>
              <w:right w:val="single" w:color="auto" w:sz="4" w:space="0"/>
            </w:tcBorders>
            <w:vAlign w:val="center"/>
          </w:tcPr>
          <w:p w14:paraId="0F45079E">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vAlign w:val="center"/>
          </w:tcPr>
          <w:p w14:paraId="0C950751">
            <w:pPr>
              <w:widowControl/>
              <w:adjustRightInd/>
              <w:spacing w:line="400" w:lineRule="exact"/>
              <w:ind w:firstLine="480" w:firstLineChars="200"/>
              <w:jc w:val="both"/>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投标人获得的专利（发明专利或实用新型专利）、</w:t>
            </w:r>
            <w:r>
              <w:rPr>
                <w:rFonts w:hint="eastAsia"/>
                <w:color w:val="000000" w:themeColor="text1"/>
                <w:kern w:val="2"/>
                <w:sz w:val="24"/>
                <w:szCs w:val="24"/>
                <w14:textFill>
                  <w14:solidFill>
                    <w14:schemeClr w14:val="tx1"/>
                  </w14:solidFill>
                </w14:textFill>
              </w:rPr>
              <w:t>国家或</w:t>
            </w:r>
            <w:r>
              <w:rPr>
                <w:color w:val="000000" w:themeColor="text1"/>
                <w:kern w:val="2"/>
                <w:sz w:val="24"/>
                <w:szCs w:val="24"/>
                <w14:textFill>
                  <w14:solidFill>
                    <w14:schemeClr w14:val="tx1"/>
                  </w14:solidFill>
                </w14:textFill>
              </w:rPr>
              <w:t>省级科学技术进步奖，主编或参编过国家、行业或地方标准的，每有1项加2.5分，最多加5分。</w:t>
            </w:r>
          </w:p>
        </w:tc>
      </w:tr>
      <w:tr w14:paraId="716E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left w:val="single" w:color="auto" w:sz="4" w:space="0"/>
              <w:bottom w:val="single" w:color="auto" w:sz="4" w:space="0"/>
              <w:right w:val="single" w:color="auto" w:sz="4" w:space="0"/>
            </w:tcBorders>
            <w:vAlign w:val="center"/>
          </w:tcPr>
          <w:p w14:paraId="28E91CDD">
            <w:pPr>
              <w:widowControl/>
              <w:adjustRightInd/>
              <w:spacing w:line="400" w:lineRule="exact"/>
              <w:textAlignment w:val="auto"/>
              <w:rPr>
                <w:color w:val="000000" w:themeColor="text1"/>
                <w:kern w:val="2"/>
                <w:sz w:val="24"/>
                <w:szCs w:val="24"/>
                <w14:textFill>
                  <w14:solidFill>
                    <w14:schemeClr w14:val="tx1"/>
                  </w14:solidFill>
                </w14:textFill>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14:paraId="2A6F9BD5">
            <w:pPr>
              <w:widowControl/>
              <w:adjustRightInd/>
              <w:spacing w:line="400" w:lineRule="exact"/>
              <w:textAlignment w:val="auto"/>
              <w:rPr>
                <w:color w:val="000000" w:themeColor="text1"/>
                <w:kern w:val="2"/>
                <w:sz w:val="24"/>
                <w:szCs w:val="24"/>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14:paraId="69DD9A47">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业绩</w:t>
            </w:r>
          </w:p>
        </w:tc>
        <w:tc>
          <w:tcPr>
            <w:tcW w:w="1102" w:type="dxa"/>
            <w:tcBorders>
              <w:top w:val="single" w:color="auto" w:sz="4" w:space="0"/>
              <w:left w:val="single" w:color="auto" w:sz="4" w:space="0"/>
              <w:bottom w:val="single" w:color="auto" w:sz="4" w:space="0"/>
              <w:right w:val="single" w:color="auto" w:sz="4" w:space="0"/>
            </w:tcBorders>
            <w:vAlign w:val="center"/>
          </w:tcPr>
          <w:p w14:paraId="4E2D2F7D">
            <w:pPr>
              <w:widowControl/>
              <w:adjustRightInd/>
              <w:spacing w:line="400" w:lineRule="exact"/>
              <w:jc w:val="right"/>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25</w:t>
            </w:r>
            <w:r>
              <w:rPr>
                <w:color w:val="000000" w:themeColor="text1"/>
                <w:kern w:val="2"/>
                <w:sz w:val="24"/>
                <w:szCs w:val="24"/>
                <w14:textFill>
                  <w14:solidFill>
                    <w14:schemeClr w14:val="tx1"/>
                  </w14:solidFill>
                </w14:textFill>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7B710F96">
            <w:pPr>
              <w:widowControl/>
              <w:adjustRightInd/>
              <w:spacing w:line="400" w:lineRule="exact"/>
              <w:jc w:val="center"/>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业绩</w:t>
            </w:r>
          </w:p>
        </w:tc>
        <w:tc>
          <w:tcPr>
            <w:tcW w:w="781" w:type="dxa"/>
            <w:tcBorders>
              <w:top w:val="single" w:color="auto" w:sz="4" w:space="0"/>
              <w:left w:val="single" w:color="auto" w:sz="4" w:space="0"/>
              <w:bottom w:val="single" w:color="auto" w:sz="4" w:space="0"/>
              <w:right w:val="single" w:color="auto" w:sz="4" w:space="0"/>
            </w:tcBorders>
            <w:vAlign w:val="center"/>
          </w:tcPr>
          <w:p w14:paraId="39406D12">
            <w:pPr>
              <w:widowControl/>
              <w:adjustRightInd/>
              <w:spacing w:line="400" w:lineRule="exact"/>
              <w:textAlignment w:val="auto"/>
              <w:rPr>
                <w:color w:val="000000" w:themeColor="text1"/>
                <w:kern w:val="2"/>
                <w:sz w:val="24"/>
                <w:szCs w:val="24"/>
                <w14:textFill>
                  <w14:solidFill>
                    <w14:schemeClr w14:val="tx1"/>
                  </w14:solidFill>
                </w14:textFill>
              </w:rPr>
            </w:pPr>
            <w:r>
              <w:rPr>
                <w:color w:val="000000" w:themeColor="text1"/>
                <w:kern w:val="2"/>
                <w:sz w:val="24"/>
                <w:szCs w:val="24"/>
                <w:u w:val="single"/>
                <w14:textFill>
                  <w14:solidFill>
                    <w14:schemeClr w14:val="tx1"/>
                  </w14:solidFill>
                </w14:textFill>
              </w:rPr>
              <w:t>25</w:t>
            </w:r>
            <w:r>
              <w:rPr>
                <w:color w:val="000000" w:themeColor="text1"/>
                <w:kern w:val="2"/>
                <w:sz w:val="24"/>
                <w:szCs w:val="24"/>
                <w14:textFill>
                  <w14:solidFill>
                    <w14:schemeClr w14:val="tx1"/>
                  </w14:solidFill>
                </w14:textFill>
              </w:rPr>
              <w:t>分</w:t>
            </w:r>
          </w:p>
        </w:tc>
        <w:tc>
          <w:tcPr>
            <w:tcW w:w="4013" w:type="dxa"/>
            <w:tcBorders>
              <w:top w:val="single" w:color="auto" w:sz="4" w:space="0"/>
              <w:left w:val="single" w:color="auto" w:sz="4" w:space="0"/>
              <w:bottom w:val="single" w:color="auto" w:sz="4" w:space="0"/>
              <w:right w:val="single" w:color="auto" w:sz="4" w:space="0"/>
            </w:tcBorders>
          </w:tcPr>
          <w:p w14:paraId="3A937997">
            <w:pPr>
              <w:widowControl/>
              <w:adjustRightInd/>
              <w:spacing w:line="400" w:lineRule="exact"/>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(a) 满足资格审查业绩要求的得15分；</w:t>
            </w:r>
          </w:p>
          <w:p w14:paraId="4C65B3C2">
            <w:pPr>
              <w:widowControl/>
              <w:adjustRightInd/>
              <w:spacing w:line="400" w:lineRule="exact"/>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(b) 在满足资格审查业绩要求的基础上，每增加一项满足强制性要求的施工监控的业绩加2.5分，最高加10分。</w:t>
            </w:r>
          </w:p>
        </w:tc>
      </w:tr>
      <w:tr w14:paraId="67C2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0" w:type="dxa"/>
            <w:gridSpan w:val="7"/>
            <w:tcBorders>
              <w:top w:val="single" w:color="auto" w:sz="4" w:space="0"/>
              <w:left w:val="single" w:color="auto" w:sz="4" w:space="0"/>
              <w:bottom w:val="single" w:color="auto" w:sz="4" w:space="0"/>
              <w:right w:val="single" w:color="auto" w:sz="4" w:space="0"/>
            </w:tcBorders>
          </w:tcPr>
          <w:p w14:paraId="4B11A6E7">
            <w:pPr>
              <w:widowControl/>
              <w:adjustRightInd/>
              <w:spacing w:line="400" w:lineRule="exact"/>
              <w:ind w:firstLine="480" w:firstLineChars="200"/>
              <w:textAlignment w:val="auto"/>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需要补充的其他内容：</w:t>
            </w:r>
          </w:p>
          <w:p w14:paraId="4FB2E83A">
            <w:pPr>
              <w:adjustRightInd/>
              <w:spacing w:line="400" w:lineRule="exact"/>
              <w:jc w:val="both"/>
              <w:textAlignment w:val="auto"/>
              <w:rPr>
                <w:bCs/>
                <w:color w:val="000000" w:themeColor="text1"/>
                <w:sz w:val="24"/>
                <w:szCs w:val="24"/>
                <w14:textFill>
                  <w14:solidFill>
                    <w14:schemeClr w14:val="tx1"/>
                  </w14:solidFill>
                </w14:textFill>
              </w:rPr>
            </w:pPr>
            <w:r>
              <w:rPr>
                <w:color w:val="000000" w:themeColor="text1"/>
                <w:kern w:val="2"/>
                <w:sz w:val="24"/>
                <w:szCs w:val="24"/>
                <w14:textFill>
                  <w14:solidFill>
                    <w14:schemeClr w14:val="tx1"/>
                  </w14:solidFill>
                </w14:textFill>
              </w:rPr>
              <w:t xml:space="preserve">    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14:paraId="26F1C89C">
      <w:pPr>
        <w:pStyle w:val="2"/>
        <w:rPr>
          <w:rFonts w:hint="eastAsia"/>
        </w:rPr>
      </w:pPr>
    </w:p>
    <w:sectPr>
      <w:headerReference r:id="rId4" w:type="default"/>
      <w:footerReference r:id="rId5"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089C">
    <w:pPr>
      <w:pStyle w:val="7"/>
      <w:ind w:right="360" w:firstLine="360"/>
      <w:jc w:val="center"/>
    </w:pPr>
  </w:p>
  <w:p w14:paraId="0EC6DCB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79BF56">
      <w:pPr>
        <w:snapToGrid w:val="0"/>
        <w:spacing w:line="300" w:lineRule="atLeast"/>
        <w:ind w:left="180" w:hanging="180" w:hangingChars="100"/>
        <w:jc w:val="both"/>
        <w:rPr>
          <w:kern w:val="2"/>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D974">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TQyZDhjMjM1YmNiNGRiNmY4ZDcwMjVlN2VhYzMifQ=="/>
  </w:docVars>
  <w:rsids>
    <w:rsidRoot w:val="20BB221E"/>
    <w:rsid w:val="046F1D19"/>
    <w:rsid w:val="06C54CB0"/>
    <w:rsid w:val="08C96CD9"/>
    <w:rsid w:val="126D179E"/>
    <w:rsid w:val="14B91723"/>
    <w:rsid w:val="16EB5BE5"/>
    <w:rsid w:val="17D76C1F"/>
    <w:rsid w:val="18ED07C2"/>
    <w:rsid w:val="191F19A5"/>
    <w:rsid w:val="19BD63E6"/>
    <w:rsid w:val="1C8054A9"/>
    <w:rsid w:val="1EA241B6"/>
    <w:rsid w:val="1F5A35D2"/>
    <w:rsid w:val="20991CF5"/>
    <w:rsid w:val="20BB221E"/>
    <w:rsid w:val="2557610F"/>
    <w:rsid w:val="279509E1"/>
    <w:rsid w:val="29EF52A8"/>
    <w:rsid w:val="2AE8308F"/>
    <w:rsid w:val="2BC37160"/>
    <w:rsid w:val="2C640943"/>
    <w:rsid w:val="2F3035D1"/>
    <w:rsid w:val="31CF3DFC"/>
    <w:rsid w:val="361075DE"/>
    <w:rsid w:val="3BCE7B87"/>
    <w:rsid w:val="3CBE5E4E"/>
    <w:rsid w:val="3E412892"/>
    <w:rsid w:val="3E8B615A"/>
    <w:rsid w:val="41586871"/>
    <w:rsid w:val="42566253"/>
    <w:rsid w:val="42C35F6C"/>
    <w:rsid w:val="448C6831"/>
    <w:rsid w:val="45717F85"/>
    <w:rsid w:val="45C76B48"/>
    <w:rsid w:val="48F24E8C"/>
    <w:rsid w:val="4A5A50CC"/>
    <w:rsid w:val="50F04ED2"/>
    <w:rsid w:val="55605995"/>
    <w:rsid w:val="55DA696F"/>
    <w:rsid w:val="56D50654"/>
    <w:rsid w:val="593B288E"/>
    <w:rsid w:val="5BB93F58"/>
    <w:rsid w:val="5C930305"/>
    <w:rsid w:val="63B745DE"/>
    <w:rsid w:val="63ED479F"/>
    <w:rsid w:val="6470717E"/>
    <w:rsid w:val="64852C29"/>
    <w:rsid w:val="6B9B71D6"/>
    <w:rsid w:val="6D266F73"/>
    <w:rsid w:val="79907C4E"/>
    <w:rsid w:val="79B35585"/>
    <w:rsid w:val="7BF94AD1"/>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3"/>
    <w:basedOn w:val="1"/>
    <w:next w:val="1"/>
    <w:qFormat/>
    <w:uiPriority w:val="0"/>
    <w:pPr>
      <w:keepNext/>
      <w:keepLines/>
      <w:spacing w:beforeLines="100" w:afterLines="50"/>
      <w:outlineLvl w:val="2"/>
    </w:pPr>
    <w:rPr>
      <w:rFonts w:eastAsia="黑体"/>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left"/>
    </w:pPr>
    <w:rPr>
      <w:rFonts w:eastAsia="黑体"/>
      <w:sz w:val="18"/>
      <w:szCs w:val="18"/>
    </w:rPr>
  </w:style>
  <w:style w:type="paragraph" w:styleId="4">
    <w:name w:val="Body Text 3"/>
    <w:basedOn w:val="1"/>
    <w:qFormat/>
    <w:uiPriority w:val="0"/>
    <w:pPr>
      <w:adjustRightInd/>
      <w:spacing w:after="120" w:line="240" w:lineRule="auto"/>
      <w:jc w:val="both"/>
      <w:textAlignment w:val="auto"/>
    </w:pPr>
    <w:rPr>
      <w:kern w:val="2"/>
      <w:sz w:val="16"/>
      <w:szCs w:val="16"/>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olor w:val="00000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Char"/>
    <w:basedOn w:val="1"/>
    <w:next w:val="1"/>
    <w:autoRedefine/>
    <w:qFormat/>
    <w:uiPriority w:val="0"/>
    <w:rPr>
      <w:szCs w:val="20"/>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3288</Words>
  <Characters>3717</Characters>
  <Lines>0</Lines>
  <Paragraphs>0</Paragraphs>
  <TotalTime>0</TotalTime>
  <ScaleCrop>false</ScaleCrop>
  <LinksUpToDate>false</LinksUpToDate>
  <CharactersWithSpaces>3764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2024-08-28T02:26:00Z</dcterms:created>
  <dc:creator>云云</dc:creator>
  <cp:lastModifiedBy>华睿诚</cp:lastModifiedBy>
  <cp:lastPrinted>2024-09-04T07:50:00Z</cp:lastPrinted>
  <dcterms:modified xsi:type="dcterms:W3CDTF">2025-03-21T09:45:05Z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8FFAA0454795460E8639BDE73601D36A_13</vt:lpwstr>
  </property>
  <property fmtid="{D5CDD505-2E9C-101B-9397-08002B2CF9AE}" pid="4" name="KSOTemplateDocerSaveRecord">
    <vt:lpwstr>eyJoZGlkIjoiMGFiNTQyZDhjMjM1YmNiNGRiNmY4ZDcwMjVlN2VhYzMiLCJ1c2VySWQiOiI0MTY4Njk3MzUifQ==</vt:lpwstr>
  </property>
</Properties>
</file>