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084E">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安康市G211堰吉河桥和G541刘家沟桥、杨家台子2号桥3座危旧桥梁改造工程方案设计及施工图设计招标</w:t>
      </w:r>
      <w:r>
        <w:rPr>
          <w:rFonts w:hint="eastAsia" w:ascii="宋体" w:hAnsi="宋体" w:eastAsia="宋体" w:cs="宋体"/>
          <w:b/>
          <w:bCs/>
          <w:sz w:val="32"/>
          <w:szCs w:val="32"/>
          <w:lang w:eastAsia="zh-CN"/>
        </w:rPr>
        <w:t>关键性内容</w:t>
      </w:r>
    </w:p>
    <w:p w14:paraId="26C5F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1.招标条件</w:t>
      </w:r>
    </w:p>
    <w:p w14:paraId="0BB8D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本招标项目安康市G211堰吉河桥和G541刘家沟桥、杨家台子2号桥3座危旧桥梁改造工程方案设计及施工图设计已由安康市公路局以陕公路字[2024]167号批准建设， 项目业主为安康市公路局，建设资金来自财政，招标人(项目业主)为安康市公路局。 项目已具备招标条件，现对该项目的 勘察设计 进行公开招标      </w:t>
      </w:r>
    </w:p>
    <w:p w14:paraId="39850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2.项目概况与招标范围：</w:t>
      </w:r>
    </w:p>
    <w:p w14:paraId="1933A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建设地点：安康市 ；</w:t>
      </w:r>
    </w:p>
    <w:p w14:paraId="07508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工程规模：安康市G211堰吉河桥和G541刘家沟桥、杨家台子2号桥3座危旧桥梁改造工程方案设计及施工图设计。具体项目概况如下： 堰吉河桥位于G211线汉滨区瀛湖库区内，桥梁中心桩号K1069+389,桥长 178.4m，桥宽13m= 0.5（护栏）+12m（净宽）+0.5m（护栏），上部结构为1×净150米中承式钢管劲性骨架箱肋拱，净矢跨比1/4，下部结构采用重力式桥台，桩基础，沥青混凝土桥面铺装，荷载等级为公路-II级。桥梁主要病害为：主拱圈拱肋裂缝，拱肋混凝土破损空洞、锈胀露筋、空鼓、渗水泛白，吊杆存在防水罩破损、锈蚀等现象，桥面板裂缝，底板空洞露筋、锈胀，个别横梁底面纵向裂缝，护栏混凝土锈胀露筋，钢扶手涂装剥落、锈蚀，桥面泄水孔堵塞等。 刘家沟桥位于G541线岚皋境内，桥梁中心桩号K144+630，桥长20m，桥宽9.0m=0.5m（护栏）+8.0m（行车道）+0.5m（护栏），上部结构为1-13m板拱，下部结构为重力式桥台，扩大基础，沥青混凝土桥面铺装，设计荷载为汽-15级。桥梁主要病害为：拱圈存在纵向、横向裂缝，桥台拱脚砌石破损，桥面铺装裂缝，护栏涂层脱落，泄水孔堵塞等。 杨家台子2号桥位于G541线岚皋境内，桥梁中心桩号K175+350，桥梁全长62m，桥宽10.4m=0.45m（护栏）+9.5m（行车道）+0.45m（护栏），上部结构为1-42m钢筋混凝土刚架拱，下部结构为重力式桥台，扩大基础，沥青混凝土桥面铺装，设计荷载为汽-20级、挂-100。桥梁主要病害为：拱肋、横系梁存在多处锈蚀露筋、裂缝，桥面底板纵向裂缝， 0#、1#桥台侧墙砌体开裂，桥面铺装局部沉陷、裂缝，护栏纵向裂缝等。 ；</w:t>
      </w:r>
    </w:p>
    <w:p w14:paraId="6A39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项目投资总额：630000元；</w:t>
      </w:r>
    </w:p>
    <w:p w14:paraId="448F1E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标段划分：</w:t>
      </w:r>
    </w:p>
    <w:tbl>
      <w:tblPr>
        <w:tblStyle w:val="4"/>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9"/>
        <w:gridCol w:w="1252"/>
        <w:gridCol w:w="1260"/>
        <w:gridCol w:w="1252"/>
        <w:gridCol w:w="4769"/>
        <w:gridCol w:w="650"/>
      </w:tblGrid>
      <w:tr w14:paraId="2E24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08" w:type="pct"/>
            <w:shd w:val="clear" w:color="auto" w:fill="auto"/>
            <w:vAlign w:val="center"/>
          </w:tcPr>
          <w:p w14:paraId="0154FB71">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工程类别</w:t>
            </w:r>
          </w:p>
        </w:tc>
        <w:tc>
          <w:tcPr>
            <w:tcW w:w="622" w:type="pct"/>
            <w:shd w:val="clear" w:color="auto" w:fill="auto"/>
            <w:vAlign w:val="center"/>
          </w:tcPr>
          <w:p w14:paraId="14C63FBE">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标段名称</w:t>
            </w:r>
          </w:p>
        </w:tc>
        <w:tc>
          <w:tcPr>
            <w:tcW w:w="622" w:type="pct"/>
            <w:shd w:val="clear" w:color="auto" w:fill="auto"/>
            <w:vAlign w:val="center"/>
          </w:tcPr>
          <w:p w14:paraId="64399489">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起讫桩号</w:t>
            </w:r>
          </w:p>
        </w:tc>
        <w:tc>
          <w:tcPr>
            <w:tcW w:w="622" w:type="pct"/>
            <w:shd w:val="clear" w:color="auto" w:fill="auto"/>
            <w:vAlign w:val="center"/>
          </w:tcPr>
          <w:p w14:paraId="2968FC26">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工程规模</w:t>
            </w:r>
          </w:p>
        </w:tc>
        <w:tc>
          <w:tcPr>
            <w:tcW w:w="2410" w:type="pct"/>
            <w:shd w:val="clear" w:color="auto" w:fill="auto"/>
            <w:vAlign w:val="center"/>
          </w:tcPr>
          <w:p w14:paraId="6B1A7A73">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主要工程内容</w:t>
            </w:r>
          </w:p>
        </w:tc>
        <w:tc>
          <w:tcPr>
            <w:tcW w:w="308" w:type="pct"/>
            <w:shd w:val="clear" w:color="auto" w:fill="auto"/>
            <w:vAlign w:val="center"/>
          </w:tcPr>
          <w:p w14:paraId="682D7870">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计划工期(天)</w:t>
            </w:r>
          </w:p>
        </w:tc>
      </w:tr>
      <w:tr w14:paraId="4BCC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08" w:type="pct"/>
            <w:vMerge w:val="restart"/>
            <w:shd w:val="clear" w:color="auto" w:fill="auto"/>
            <w:vAlign w:val="center"/>
          </w:tcPr>
          <w:p w14:paraId="56A8C9B8">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设计</w:t>
            </w:r>
          </w:p>
        </w:tc>
        <w:tc>
          <w:tcPr>
            <w:tcW w:w="622" w:type="pct"/>
            <w:shd w:val="clear" w:color="auto" w:fill="auto"/>
            <w:vAlign w:val="center"/>
          </w:tcPr>
          <w:p w14:paraId="590A85E3">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堰吉河桥方案设计及施工图设计[SJ-1标段]</w:t>
            </w:r>
          </w:p>
        </w:tc>
        <w:tc>
          <w:tcPr>
            <w:tcW w:w="622" w:type="pct"/>
            <w:shd w:val="clear" w:color="auto" w:fill="auto"/>
            <w:vAlign w:val="center"/>
          </w:tcPr>
          <w:p w14:paraId="71E80CE3">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K1069+389</w:t>
            </w:r>
          </w:p>
        </w:tc>
        <w:tc>
          <w:tcPr>
            <w:tcW w:w="622" w:type="pct"/>
            <w:shd w:val="clear" w:color="auto" w:fill="auto"/>
            <w:vAlign w:val="center"/>
          </w:tcPr>
          <w:p w14:paraId="7721119D">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0.1784公里</w:t>
            </w:r>
          </w:p>
        </w:tc>
        <w:tc>
          <w:tcPr>
            <w:tcW w:w="2410" w:type="pct"/>
            <w:shd w:val="clear" w:color="auto" w:fill="auto"/>
            <w:vAlign w:val="center"/>
          </w:tcPr>
          <w:p w14:paraId="5095A155">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针对该桥存在的病害进行方案设计，在取得方案批复后进行施工图设计，并提供相应后续服务。</w:t>
            </w:r>
          </w:p>
        </w:tc>
        <w:tc>
          <w:tcPr>
            <w:tcW w:w="308" w:type="pct"/>
            <w:shd w:val="clear" w:color="auto" w:fill="auto"/>
            <w:vAlign w:val="center"/>
          </w:tcPr>
          <w:p w14:paraId="3E5F5438">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45</w:t>
            </w:r>
          </w:p>
        </w:tc>
      </w:tr>
      <w:tr w14:paraId="7446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08" w:type="pct"/>
            <w:vMerge w:val="continue"/>
            <w:shd w:val="clear" w:color="auto" w:fill="auto"/>
            <w:vAlign w:val="center"/>
          </w:tcPr>
          <w:p w14:paraId="45F1E036">
            <w:pPr>
              <w:rPr>
                <w:rFonts w:hint="eastAsia" w:ascii="宋体" w:hAnsi="宋体" w:eastAsia="宋体" w:cs="宋体"/>
                <w:color w:val="333333"/>
                <w:sz w:val="24"/>
                <w:szCs w:val="24"/>
              </w:rPr>
            </w:pPr>
          </w:p>
        </w:tc>
        <w:tc>
          <w:tcPr>
            <w:tcW w:w="622" w:type="pct"/>
            <w:shd w:val="clear" w:color="auto" w:fill="auto"/>
            <w:vAlign w:val="center"/>
          </w:tcPr>
          <w:p w14:paraId="14F82AD2">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刘家沟桥、杨家台子2号桥方案设计及施工图设计[SJ-2标段]</w:t>
            </w:r>
          </w:p>
        </w:tc>
        <w:tc>
          <w:tcPr>
            <w:tcW w:w="622" w:type="pct"/>
            <w:shd w:val="clear" w:color="auto" w:fill="auto"/>
            <w:vAlign w:val="center"/>
          </w:tcPr>
          <w:p w14:paraId="3077E013">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K144+630、K175+350</w:t>
            </w:r>
          </w:p>
        </w:tc>
        <w:tc>
          <w:tcPr>
            <w:tcW w:w="622" w:type="pct"/>
            <w:shd w:val="clear" w:color="auto" w:fill="auto"/>
            <w:vAlign w:val="center"/>
          </w:tcPr>
          <w:p w14:paraId="19DF5837">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0.082公里</w:t>
            </w:r>
          </w:p>
        </w:tc>
        <w:tc>
          <w:tcPr>
            <w:tcW w:w="2410" w:type="pct"/>
            <w:shd w:val="clear" w:color="auto" w:fill="auto"/>
            <w:vAlign w:val="center"/>
          </w:tcPr>
          <w:p w14:paraId="02D59FF1">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针对该桥存在的病害进行方案设计，在取得方案批复后进行施工图设计，并提供相应后续服务。</w:t>
            </w:r>
          </w:p>
        </w:tc>
        <w:tc>
          <w:tcPr>
            <w:tcW w:w="308" w:type="pct"/>
            <w:shd w:val="clear" w:color="auto" w:fill="auto"/>
            <w:vAlign w:val="center"/>
          </w:tcPr>
          <w:p w14:paraId="027A7055">
            <w:pPr>
              <w:keepNext w:val="0"/>
              <w:keepLines w:val="0"/>
              <w:widowControl/>
              <w:suppressLineNumbers w:val="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45</w:t>
            </w:r>
          </w:p>
        </w:tc>
      </w:tr>
    </w:tbl>
    <w:p w14:paraId="3B9A1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其他：/ 。      </w:t>
      </w:r>
    </w:p>
    <w:p w14:paraId="3DA75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3.投标人资格要求</w:t>
      </w:r>
    </w:p>
    <w:p w14:paraId="49AD7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3.1 堰吉河桥方案设计及施工图设计[SJ-1标段]：本次招标要求投标人须具备 投标人必须具有公路行业（公路）专业设计甲级资质或公路行业设计甲级或工程设计综合甲级 资 质、 投标人在近5年（自2019年1月1日至投标截止日，以设计批复时间为准）内独立完成过1项公路大桥新建或加固工程设计工作业绩，并在人员 等方面具备相应的 勘察设计能力。 项目负责人（1名）： （1）具有公路相关专业高级及以上技术职称，5年及以上公路工程设计工作经验。 （2）近5年（2019年1月1日至投标文件递交截止日）内至少担任过1项公路大桥新建或加固设计的项目负责人职务</w:t>
      </w:r>
      <w:r>
        <w:rPr>
          <w:rFonts w:hint="eastAsia" w:ascii="宋体" w:hAnsi="宋体" w:eastAsia="宋体" w:cs="宋体"/>
          <w:sz w:val="24"/>
          <w:szCs w:val="24"/>
          <w:lang w:eastAsia="zh-CN"/>
        </w:rPr>
        <w:t>。</w:t>
      </w:r>
    </w:p>
    <w:p w14:paraId="78F2D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刘家沟桥、杨家台子2号桥方案设计及施工图设计[SJ-2标段]：本次招标要求投标人须具备 公路行业（公路）专业设计乙级及以上资质或公路行业设计乙级及以上资质或工程设计综合甲级 资 质、 投标人在近5年（自2019年1月1日至投标截止日，以设计批复时间为准）内独立完成过1项公路大桥新建或加固工程设计工作业绩，并在人员 等方面具备相应的 勘察设计能力。 项目负责人（1名）： （1）具有公路相关专业高级及以上技术职称，5年及以上公路工程设计工作经验。 （2）近5年（2019年1月1日至投标文件递交截止日）内至少担任过1项公路大桥新建或加固设计的项目负责人职务</w:t>
      </w:r>
    </w:p>
    <w:p w14:paraId="1BBF8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本次招标 不接受 联合体投标；</w:t>
      </w:r>
    </w:p>
    <w:p w14:paraId="232BE8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每个投标人最多可对 1 投标，被 陕西省 交通运输主管部门评为D信用等级的投标人，最多可对0投标。每个投标人允许中 1个标段 。对投标人信用等级的认定条件为：投标人存在下列不良状况或不良信用记录的单位，不得参加投标： （1）凡被交通运输部或陕西省交通运输主管部门取消或暂停在陕西省投标资格且在处罚期内的单位无资格参与本项目投标； （2）凡在交通运输部“全国公路建设市场监督管理系统”2022年度设计企业全国综合信用评价结果中或陕西省交通运输厅陕西省2023年度公路设计企业信用评价结果中，被评为D级或曾被评为D级但处罚期限未过的单位无资格参与本项目投标； （3）被责令停业，暂扣或吊销执照，或吊销资质证书； （4）进入清算程序，或被宣告破产，或其他丧失履约能力的情形； （5）在国家企业信用信息公示系统（http://www.gsxt.gov.cn/）中被列入严重违法失信企业名单；在“信用中国”网站（http://www.creditchina.gov.cn/）中被列入失信被执行人名单； （6）投标人及其法定代表人、拟委任的项目负责人在近三年内有行贿犯罪行为的； （7）法律法规规定的其他情形。。补充说明：。</w:t>
      </w:r>
    </w:p>
    <w:p w14:paraId="1CB46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与招标人存在利害关系可能影响招标公正性的单位，不得参加投标。单位负责人为同一人或存在控股、管理关系的不同单位，不得参加同一标段投标，否则，相关投标均无效。</w:t>
      </w:r>
    </w:p>
    <w:p w14:paraId="1F967CA2">
      <w:pPr>
        <w:rPr>
          <w:rFonts w:hint="eastAsia" w:ascii="宋体" w:hAnsi="宋体" w:eastAsia="宋体" w:cs="宋体"/>
          <w:sz w:val="24"/>
          <w:szCs w:val="24"/>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sz w:val="24"/>
          <w:szCs w:val="24"/>
        </w:rPr>
        <w:t>3.5 在“信用中国”网站（http://www.creditchina.gov.cn/）中被列入失信被执行人名单的投标人，不得参加投标。</w:t>
      </w:r>
    </w:p>
    <w:p w14:paraId="5EF31144">
      <w:pPr>
        <w:pStyle w:val="3"/>
        <w:rPr>
          <w:rFonts w:ascii="仿宋" w:hAnsi="仿宋" w:cs="仿宋"/>
          <w:b/>
          <w:bCs/>
          <w:color w:val="000000" w:themeColor="text1"/>
          <w:highlight w:val="none"/>
          <w:lang w:eastAsia="zh-CN"/>
          <w14:textFill>
            <w14:solidFill>
              <w14:schemeClr w14:val="tx1"/>
            </w14:solidFill>
          </w14:textFill>
        </w:rPr>
      </w:pPr>
      <w:r>
        <w:rPr>
          <w:rFonts w:hint="eastAsia" w:ascii="仿宋" w:hAnsi="仿宋" w:cs="仿宋"/>
          <w:b/>
          <w:bCs/>
          <w:color w:val="000000" w:themeColor="text1"/>
          <w:highlight w:val="none"/>
          <w:lang w:eastAsia="zh-CN"/>
          <w14:textFill>
            <w14:solidFill>
              <w14:schemeClr w14:val="tx1"/>
            </w14:solidFill>
          </w14:textFill>
        </w:rPr>
        <w:t>评标办法（综合评估法）</w:t>
      </w:r>
    </w:p>
    <w:p w14:paraId="7FA15460">
      <w:pPr>
        <w:spacing w:beforeLines="0" w:afterLines="0"/>
        <w:ind w:firstLine="0" w:firstLineChars="0"/>
        <w:jc w:val="center"/>
        <w:outlineLvl w:val="1"/>
        <w:rPr>
          <w:rFonts w:ascii="仿宋" w:hAnsi="仿宋" w:cs="仿宋"/>
          <w:color w:val="000000" w:themeColor="text1"/>
          <w:highlight w:val="none"/>
          <w14:textFill>
            <w14:solidFill>
              <w14:schemeClr w14:val="tx1"/>
            </w14:solidFill>
          </w14:textFill>
        </w:rPr>
      </w:pPr>
      <w:bookmarkStart w:id="0" w:name="bookmark184"/>
      <w:bookmarkEnd w:id="0"/>
      <w:r>
        <w:rPr>
          <w:rFonts w:hint="eastAsia" w:ascii="仿宋" w:hAnsi="仿宋" w:cs="仿宋"/>
          <w:b/>
          <w:bCs/>
          <w:color w:val="000000" w:themeColor="text1"/>
          <w:spacing w:val="-1"/>
          <w:sz w:val="32"/>
          <w:szCs w:val="32"/>
          <w:highlight w:val="none"/>
          <w14:textFill>
            <w14:solidFill>
              <w14:schemeClr w14:val="tx1"/>
            </w14:solidFill>
          </w14:textFill>
        </w:rPr>
        <w:t>评标办法前附表</w:t>
      </w:r>
    </w:p>
    <w:tbl>
      <w:tblPr>
        <w:tblStyle w:val="6"/>
        <w:tblW w:w="101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406"/>
        <w:gridCol w:w="7282"/>
        <w:gridCol w:w="64"/>
        <w:gridCol w:w="262"/>
      </w:tblGrid>
      <w:tr w14:paraId="35AC6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326" w:type="dxa"/>
          <w:trHeight w:val="393" w:hRule="atLeast"/>
        </w:trPr>
        <w:tc>
          <w:tcPr>
            <w:tcW w:w="2497" w:type="dxa"/>
            <w:gridSpan w:val="2"/>
            <w:tcBorders>
              <w:right w:val="single" w:color="000000" w:sz="4" w:space="0"/>
            </w:tcBorders>
          </w:tcPr>
          <w:p w14:paraId="0C2ECEE5">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4"/>
                <w:sz w:val="24"/>
                <w:szCs w:val="24"/>
                <w:highlight w:val="none"/>
                <w14:textFill>
                  <w14:solidFill>
                    <w14:schemeClr w14:val="tx1"/>
                  </w14:solidFill>
                </w14:textFill>
              </w:rPr>
              <w:t>条款号</w:t>
            </w:r>
          </w:p>
        </w:tc>
        <w:tc>
          <w:tcPr>
            <w:tcW w:w="7282" w:type="dxa"/>
            <w:tcBorders>
              <w:left w:val="single" w:color="000000" w:sz="4" w:space="0"/>
            </w:tcBorders>
          </w:tcPr>
          <w:p w14:paraId="77EBC850">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4"/>
                <w:sz w:val="24"/>
                <w:szCs w:val="24"/>
                <w:highlight w:val="none"/>
                <w14:textFill>
                  <w14:solidFill>
                    <w14:schemeClr w14:val="tx1"/>
                  </w14:solidFill>
                </w14:textFill>
              </w:rPr>
              <w:t>评审因素与评审标准</w:t>
            </w:r>
          </w:p>
        </w:tc>
      </w:tr>
      <w:tr w14:paraId="2CEA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326" w:type="dxa"/>
          <w:trHeight w:val="90" w:hRule="atLeast"/>
        </w:trPr>
        <w:tc>
          <w:tcPr>
            <w:tcW w:w="1091" w:type="dxa"/>
            <w:vAlign w:val="center"/>
          </w:tcPr>
          <w:p w14:paraId="54AC492A">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1</w:t>
            </w:r>
          </w:p>
        </w:tc>
        <w:tc>
          <w:tcPr>
            <w:tcW w:w="1406" w:type="dxa"/>
            <w:tcBorders>
              <w:right w:val="single" w:color="000000" w:sz="4" w:space="0"/>
            </w:tcBorders>
            <w:vAlign w:val="center"/>
          </w:tcPr>
          <w:p w14:paraId="46F4ACE8">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评标方法</w:t>
            </w:r>
          </w:p>
        </w:tc>
        <w:tc>
          <w:tcPr>
            <w:tcW w:w="7282" w:type="dxa"/>
            <w:tcBorders>
              <w:left w:val="single" w:color="000000" w:sz="4" w:space="0"/>
            </w:tcBorders>
          </w:tcPr>
          <w:p w14:paraId="73646597">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4"/>
                <w:sz w:val="24"/>
                <w:szCs w:val="24"/>
                <w:highlight w:val="none"/>
                <w:lang w:eastAsia="zh-CN"/>
                <w14:textFill>
                  <w14:solidFill>
                    <w14:schemeClr w14:val="tx1"/>
                  </w14:solidFill>
                </w14:textFill>
              </w:rPr>
              <w:t>综合评分相等时，评标委员会依次按照以下优先顺序推荐中标候选</w:t>
            </w:r>
            <w:r>
              <w:rPr>
                <w:rFonts w:hint="eastAsia" w:ascii="仿宋" w:hAnsi="仿宋" w:cs="仿宋"/>
                <w:color w:val="000000" w:themeColor="text1"/>
                <w:spacing w:val="-1"/>
                <w:sz w:val="24"/>
                <w:szCs w:val="24"/>
                <w:highlight w:val="none"/>
                <w:lang w:eastAsia="zh-CN"/>
                <w14:textFill>
                  <w14:solidFill>
                    <w14:schemeClr w14:val="tx1"/>
                  </w14:solidFill>
                </w14:textFill>
              </w:rPr>
              <w:t>人或确定中标人：</w:t>
            </w:r>
          </w:p>
          <w:p w14:paraId="030621C3">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（1）评标价低的投标人优先；</w:t>
            </w:r>
          </w:p>
          <w:p w14:paraId="6EF278F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（2）商务和技术得分较高的投标人优先；</w:t>
            </w:r>
          </w:p>
        </w:tc>
      </w:tr>
      <w:tr w14:paraId="48D62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326" w:type="dxa"/>
          <w:trHeight w:val="6487" w:hRule="atLeast"/>
        </w:trPr>
        <w:tc>
          <w:tcPr>
            <w:tcW w:w="1091" w:type="dxa"/>
            <w:vAlign w:val="center"/>
          </w:tcPr>
          <w:p w14:paraId="1A342793">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2.1.1</w:t>
            </w:r>
            <w:r>
              <w:rPr>
                <w:rFonts w:hint="eastAsia" w:ascii="仿宋" w:hAnsi="仿宋" w:cs="仿宋"/>
                <w:color w:val="000000" w:themeColor="text1"/>
                <w:spacing w:val="1"/>
                <w:sz w:val="24"/>
                <w:szCs w:val="24"/>
                <w:highlight w:val="none"/>
                <w14:textFill>
                  <w14:solidFill>
                    <w14:schemeClr w14:val="tx1"/>
                  </w14:solidFill>
                </w14:textFill>
              </w:rPr>
              <w:t xml:space="preserve"> </w:t>
            </w:r>
            <w:r>
              <w:rPr>
                <w:rFonts w:hint="eastAsia" w:ascii="仿宋" w:hAnsi="仿宋" w:cs="仿宋"/>
                <w:color w:val="000000" w:themeColor="text1"/>
                <w:spacing w:val="-1"/>
                <w:sz w:val="24"/>
                <w:szCs w:val="24"/>
                <w:highlight w:val="none"/>
                <w14:textFill>
                  <w14:solidFill>
                    <w14:schemeClr w14:val="tx1"/>
                  </w14:solidFill>
                </w14:textFill>
              </w:rPr>
              <w:t>2.1.3</w:t>
            </w:r>
          </w:p>
        </w:tc>
        <w:tc>
          <w:tcPr>
            <w:tcW w:w="1406" w:type="dxa"/>
            <w:tcBorders>
              <w:right w:val="single" w:color="000000" w:sz="4" w:space="0"/>
            </w:tcBorders>
            <w:vAlign w:val="center"/>
          </w:tcPr>
          <w:p w14:paraId="7C1DDD19">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形式评审与</w:t>
            </w:r>
          </w:p>
          <w:p w14:paraId="6A07930B">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4"/>
                <w:sz w:val="24"/>
                <w:szCs w:val="24"/>
                <w:highlight w:val="none"/>
                <w:lang w:eastAsia="zh-CN"/>
                <w14:textFill>
                  <w14:solidFill>
                    <w14:schemeClr w14:val="tx1"/>
                  </w14:solidFill>
                </w14:textFill>
              </w:rPr>
              <w:t>响应性评审</w:t>
            </w:r>
          </w:p>
          <w:p w14:paraId="4E8ED2C8">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标准</w:t>
            </w:r>
          </w:p>
        </w:tc>
        <w:tc>
          <w:tcPr>
            <w:tcW w:w="7282" w:type="dxa"/>
            <w:tcBorders>
              <w:left w:val="single" w:color="000000" w:sz="4" w:space="0"/>
            </w:tcBorders>
          </w:tcPr>
          <w:p w14:paraId="6760E740">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b/>
                <w:bCs/>
                <w:color w:val="000000" w:themeColor="text1"/>
                <w:spacing w:val="-4"/>
                <w:sz w:val="24"/>
                <w:szCs w:val="24"/>
                <w:highlight w:val="none"/>
                <w:lang w:eastAsia="zh-CN"/>
                <w14:textFill>
                  <w14:solidFill>
                    <w14:schemeClr w14:val="tx1"/>
                  </w14:solidFill>
                </w14:textFill>
              </w:rPr>
              <w:t>第一个信封（商务及技术文件）评审标准：</w:t>
            </w:r>
          </w:p>
          <w:p w14:paraId="1ACF1C48">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（1）投标文件按照招标文件规定的格式、</w:t>
            </w:r>
            <w:r>
              <w:rPr>
                <w:rFonts w:hint="eastAsia" w:ascii="仿宋" w:hAnsi="仿宋" w:cs="仿宋"/>
                <w:color w:val="000000" w:themeColor="text1"/>
                <w:spacing w:val="-1"/>
                <w:sz w:val="24"/>
                <w:szCs w:val="24"/>
                <w:highlight w:val="none"/>
                <w:lang w:eastAsia="zh-CN"/>
                <w14:textFill>
                  <w14:solidFill>
                    <w14:schemeClr w14:val="tx1"/>
                  </w14:solidFill>
                </w14:textFill>
              </w:rPr>
              <w:t>内容填写，字迹清晰可</w:t>
            </w:r>
            <w:r>
              <w:rPr>
                <w:rFonts w:hint="eastAsia" w:ascii="仿宋" w:hAnsi="仿宋" w:cs="仿宋"/>
                <w:color w:val="000000" w:themeColor="text1"/>
                <w:spacing w:val="-14"/>
                <w:sz w:val="24"/>
                <w:szCs w:val="24"/>
                <w:highlight w:val="none"/>
                <w:lang w:eastAsia="zh-CN"/>
                <w14:textFill>
                  <w14:solidFill>
                    <w14:schemeClr w14:val="tx1"/>
                  </w14:solidFill>
                </w14:textFill>
              </w:rPr>
              <w:t>辨：</w:t>
            </w:r>
          </w:p>
          <w:p w14:paraId="21793CB8">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8"/>
                <w:sz w:val="24"/>
                <w:szCs w:val="24"/>
                <w:highlight w:val="none"/>
                <w:lang w:eastAsia="zh-CN"/>
                <w14:textFill>
                  <w14:solidFill>
                    <w14:schemeClr w14:val="tx1"/>
                  </w14:solidFill>
                </w14:textFill>
              </w:rPr>
              <w:t>a.投标函按招标文件规定填报了项目名称、标段号</w:t>
            </w:r>
            <w:r>
              <w:rPr>
                <w:rFonts w:hint="eastAsia" w:ascii="仿宋" w:hAnsi="仿宋" w:cs="仿宋"/>
                <w:color w:val="000000" w:themeColor="text1"/>
                <w:spacing w:val="-9"/>
                <w:sz w:val="24"/>
                <w:szCs w:val="24"/>
                <w:highlight w:val="none"/>
                <w:lang w:eastAsia="zh-CN"/>
                <w14:textFill>
                  <w14:solidFill>
                    <w14:schemeClr w14:val="tx1"/>
                  </w14:solidFill>
                </w14:textFill>
              </w:rPr>
              <w:t>、补遗书编号（如</w:t>
            </w:r>
            <w:r>
              <w:rPr>
                <w:rFonts w:hint="eastAsia" w:ascii="仿宋" w:hAnsi="仿宋" w:cs="仿宋"/>
                <w:color w:val="000000" w:themeColor="text1"/>
                <w:spacing w:val="-5"/>
                <w:sz w:val="24"/>
                <w:szCs w:val="24"/>
                <w:highlight w:val="none"/>
                <w:lang w:eastAsia="zh-CN"/>
                <w14:textFill>
                  <w14:solidFill>
                    <w14:schemeClr w14:val="tx1"/>
                  </w14:solidFill>
                </w14:textFill>
              </w:rPr>
              <w:t>有）、方案设计及施工图设计服务期限、工程质量要求及安全目标；</w:t>
            </w:r>
          </w:p>
          <w:p w14:paraId="17BB844D">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b.投标文件组成齐全完整，内容均按规定填写。</w:t>
            </w:r>
          </w:p>
          <w:p w14:paraId="1AE32932">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（2）投标文件上法定代表人或其委托代理</w:t>
            </w:r>
            <w:r>
              <w:rPr>
                <w:rFonts w:hint="eastAsia" w:ascii="仿宋" w:hAnsi="仿宋" w:cs="仿宋"/>
                <w:color w:val="000000" w:themeColor="text1"/>
                <w:spacing w:val="-1"/>
                <w:sz w:val="24"/>
                <w:szCs w:val="24"/>
                <w:highlight w:val="none"/>
                <w:lang w:eastAsia="zh-CN"/>
                <w14:textFill>
                  <w14:solidFill>
                    <w14:schemeClr w14:val="tx1"/>
                  </w14:solidFill>
                </w14:textFill>
              </w:rPr>
              <w:t>人的签字、投标人的单位章盖章齐全，符合招标文件规定。</w:t>
            </w:r>
          </w:p>
          <w:p w14:paraId="33704BD6">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（3）与申请资格预审时比较，投标人发生</w:t>
            </w:r>
            <w:r>
              <w:rPr>
                <w:rFonts w:hint="eastAsia" w:ascii="仿宋" w:hAnsi="仿宋" w:cs="仿宋"/>
                <w:color w:val="000000" w:themeColor="text1"/>
                <w:spacing w:val="-1"/>
                <w:sz w:val="24"/>
                <w:szCs w:val="24"/>
                <w:highlight w:val="none"/>
                <w:lang w:eastAsia="zh-CN"/>
                <w14:textFill>
                  <w14:solidFill>
                    <w14:schemeClr w14:val="tx1"/>
                  </w14:solidFill>
                </w14:textFill>
              </w:rPr>
              <w:t>合并、分立、破产等重</w:t>
            </w:r>
            <w:r>
              <w:rPr>
                <w:rFonts w:hint="eastAsia" w:ascii="仿宋" w:hAnsi="仿宋" w:cs="仿宋"/>
                <w:color w:val="000000" w:themeColor="text1"/>
                <w:spacing w:val="-4"/>
                <w:sz w:val="24"/>
                <w:szCs w:val="24"/>
                <w:highlight w:val="none"/>
                <w:lang w:eastAsia="zh-CN"/>
                <w14:textFill>
                  <w14:solidFill>
                    <w14:schemeClr w14:val="tx1"/>
                  </w14:solidFill>
                </w14:textFill>
              </w:rPr>
              <w:t>大变化的，仍具备资格预审文件规定的相应资格条件且其投标未影响招</w:t>
            </w:r>
            <w:r>
              <w:rPr>
                <w:rFonts w:hint="eastAsia" w:ascii="仿宋" w:hAnsi="仿宋" w:cs="仿宋"/>
                <w:color w:val="000000" w:themeColor="text1"/>
                <w:spacing w:val="-7"/>
                <w:sz w:val="24"/>
                <w:szCs w:val="24"/>
                <w:highlight w:val="none"/>
                <w:lang w:eastAsia="zh-CN"/>
                <w14:textFill>
                  <w14:solidFill>
                    <w14:schemeClr w14:val="tx1"/>
                  </w14:solidFill>
                </w14:textFill>
              </w:rPr>
              <w:t>标公正性：</w:t>
            </w:r>
          </w:p>
          <w:p w14:paraId="10670849">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a.投标人应提供相关部门的合法批件及企业法人营业执照和资质</w:t>
            </w:r>
            <w:r>
              <w:rPr>
                <w:rFonts w:hint="eastAsia" w:ascii="仿宋" w:hAnsi="仿宋" w:cs="仿宋"/>
                <w:color w:val="000000" w:themeColor="text1"/>
                <w:spacing w:val="-2"/>
                <w:sz w:val="24"/>
                <w:szCs w:val="24"/>
                <w:highlight w:val="none"/>
                <w:lang w:eastAsia="zh-CN"/>
                <w14:textFill>
                  <w14:solidFill>
                    <w14:schemeClr w14:val="tx1"/>
                  </w14:solidFill>
                </w14:textFill>
              </w:rPr>
              <w:t>证书等证件的副本变更记录复印件；</w:t>
            </w:r>
          </w:p>
          <w:p w14:paraId="263BCD6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b.投标人仍然满足资格预审文件中规定的资格预审条件最低要求</w:t>
            </w:r>
            <w:r>
              <w:rPr>
                <w:rFonts w:hint="eastAsia" w:ascii="仿宋" w:hAnsi="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（资质、业绩、人员、信誉等</w:t>
            </w:r>
            <w:r>
              <w:rPr>
                <w:rFonts w:hint="eastAsia" w:ascii="仿宋" w:hAnsi="仿宋" w:cs="仿宋"/>
                <w:color w:val="000000" w:themeColor="text1"/>
                <w:spacing w:val="-54"/>
                <w:w w:val="97"/>
                <w:sz w:val="24"/>
                <w:szCs w:val="24"/>
                <w:highlight w:val="none"/>
                <w:lang w:eastAsia="zh-CN"/>
                <w14:textFill>
                  <w14:solidFill>
                    <w14:schemeClr w14:val="tx1"/>
                  </w14:solidFill>
                </w14:textFill>
              </w:rPr>
              <w:t>）；</w:t>
            </w:r>
          </w:p>
          <w:p w14:paraId="0E2B0B98">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c.与所投标段的其他投标人不存在控股、管理关系或单位负责人为</w:t>
            </w:r>
            <w:r>
              <w:rPr>
                <w:rFonts w:hint="eastAsia" w:ascii="仿宋" w:hAnsi="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同一人的情况；与招标人也不存在利害关系并可能影响招标公正性。</w:t>
            </w:r>
          </w:p>
          <w:p w14:paraId="385C37FB">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（4）投标人按照招标文件的规定提供了投标保证金：</w:t>
            </w:r>
          </w:p>
          <w:p w14:paraId="57638927">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a.投标保证金金额符合招标文件规定的金额，且投标保证金有效期</w:t>
            </w:r>
            <w:r>
              <w:rPr>
                <w:rFonts w:hint="eastAsia" w:ascii="仿宋" w:hAnsi="仿宋" w:cs="仿宋"/>
                <w:color w:val="000000" w:themeColor="text1"/>
                <w:spacing w:val="14"/>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4"/>
                <w:sz w:val="24"/>
                <w:szCs w:val="24"/>
                <w:highlight w:val="none"/>
                <w:lang w:eastAsia="zh-CN"/>
                <w14:textFill>
                  <w14:solidFill>
                    <w14:schemeClr w14:val="tx1"/>
                  </w14:solidFill>
                </w14:textFill>
              </w:rPr>
              <w:t>不少于投标有效期；</w:t>
            </w:r>
          </w:p>
        </w:tc>
      </w:tr>
      <w:tr w14:paraId="3DE6B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2" w:type="dxa"/>
          <w:trHeight w:val="539" w:hRule="atLeast"/>
        </w:trPr>
        <w:tc>
          <w:tcPr>
            <w:tcW w:w="1091" w:type="dxa"/>
            <w:vAlign w:val="center"/>
          </w:tcPr>
          <w:p w14:paraId="02183C0E">
            <w:pPr>
              <w:spacing w:beforeLines="0" w:afterLines="0" w:line="240" w:lineRule="auto"/>
              <w:ind w:firstLine="0" w:firstLineChars="0"/>
              <w:jc w:val="center"/>
              <w:rPr>
                <w:rFonts w:ascii="仿宋" w:hAnsi="仿宋" w:cs="仿宋"/>
                <w:color w:val="000000" w:themeColor="text1"/>
                <w:spacing w:val="-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2.1.1 2.1.3</w:t>
            </w:r>
          </w:p>
        </w:tc>
        <w:tc>
          <w:tcPr>
            <w:tcW w:w="1406" w:type="dxa"/>
            <w:tcBorders>
              <w:right w:val="single" w:color="000000" w:sz="4" w:space="0"/>
            </w:tcBorders>
            <w:vAlign w:val="center"/>
          </w:tcPr>
          <w:p w14:paraId="392D5248">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p>
          <w:p w14:paraId="7028420C">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形式评审与</w:t>
            </w:r>
          </w:p>
          <w:p w14:paraId="5FC04E50">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响应性评审</w:t>
            </w:r>
          </w:p>
          <w:p w14:paraId="39395C1A">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标准</w:t>
            </w:r>
          </w:p>
        </w:tc>
        <w:tc>
          <w:tcPr>
            <w:tcW w:w="7346" w:type="dxa"/>
            <w:gridSpan w:val="2"/>
            <w:tcBorders>
              <w:left w:val="single" w:color="000000" w:sz="4" w:space="0"/>
            </w:tcBorders>
          </w:tcPr>
          <w:p w14:paraId="1269373D">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b.若投标保证金采用现金或支票形式提交，投标人应在递交投标文</w:t>
            </w:r>
            <w:r>
              <w:rPr>
                <w:rFonts w:hint="eastAsia" w:ascii="仿宋" w:hAnsi="仿宋" w:cs="仿宋"/>
                <w:color w:val="000000" w:themeColor="text1"/>
                <w:spacing w:val="13"/>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4"/>
                <w:sz w:val="24"/>
                <w:szCs w:val="24"/>
                <w:highlight w:val="none"/>
                <w:lang w:eastAsia="zh-CN"/>
                <w14:textFill>
                  <w14:solidFill>
                    <w14:schemeClr w14:val="tx1"/>
                  </w14:solidFill>
                </w14:textFill>
              </w:rPr>
              <w:t>件截止时间之前，将投标保证金由投标人的基本账户转入招标人指定账</w:t>
            </w:r>
            <w:r>
              <w:rPr>
                <w:rFonts w:hint="eastAsia" w:ascii="仿宋" w:hAnsi="仿宋" w:cs="仿宋"/>
                <w:color w:val="000000" w:themeColor="text1"/>
                <w:spacing w:val="-14"/>
                <w:sz w:val="24"/>
                <w:szCs w:val="24"/>
                <w:highlight w:val="none"/>
                <w:lang w:eastAsia="zh-CN"/>
                <w14:textFill>
                  <w14:solidFill>
                    <w14:schemeClr w14:val="tx1"/>
                  </w14:solidFill>
                </w14:textFill>
              </w:rPr>
              <w:t>户；</w:t>
            </w:r>
          </w:p>
          <w:p w14:paraId="07BF432F">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c.若投标保证金采用银行保函形式提交，银行保函的格式、开具保</w:t>
            </w:r>
            <w:r>
              <w:rPr>
                <w:rFonts w:hint="eastAsia" w:ascii="仿宋" w:hAnsi="仿宋" w:cs="仿宋"/>
                <w:color w:val="000000" w:themeColor="text1"/>
                <w:spacing w:val="14"/>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4"/>
                <w:sz w:val="24"/>
                <w:szCs w:val="24"/>
                <w:highlight w:val="none"/>
                <w:lang w:eastAsia="zh-CN"/>
                <w14:textFill>
                  <w14:solidFill>
                    <w14:schemeClr w14:val="tx1"/>
                  </w14:solidFill>
                </w14:textFill>
              </w:rPr>
              <w:t>函的银行均满足招标文件要求，且在递交投标文件截止时间之前向招标</w:t>
            </w:r>
            <w:r>
              <w:rPr>
                <w:rFonts w:hint="eastAsia" w:ascii="仿宋" w:hAnsi="仿宋" w:cs="仿宋"/>
                <w:color w:val="000000" w:themeColor="text1"/>
                <w:spacing w:val="14"/>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人提交了银行保函原件。</w:t>
            </w:r>
          </w:p>
          <w:p w14:paraId="3DDCD5E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（5）投标人法定代表人授权委托代理人签</w:t>
            </w:r>
            <w:r>
              <w:rPr>
                <w:rFonts w:hint="eastAsia" w:ascii="仿宋" w:hAnsi="仿宋" w:cs="仿宋"/>
                <w:color w:val="000000" w:themeColor="text1"/>
                <w:spacing w:val="-1"/>
                <w:sz w:val="24"/>
                <w:szCs w:val="24"/>
                <w:highlight w:val="none"/>
                <w:lang w:eastAsia="zh-CN"/>
                <w14:textFill>
                  <w14:solidFill>
                    <w14:schemeClr w14:val="tx1"/>
                  </w14:solidFill>
                </w14:textFill>
              </w:rPr>
              <w:t>署投标文件的，须提交</w:t>
            </w:r>
            <w:r>
              <w:rPr>
                <w:rFonts w:hint="eastAsia" w:ascii="仿宋" w:hAnsi="仿宋" w:cs="仿宋"/>
                <w:color w:val="000000" w:themeColor="text1"/>
                <w:spacing w:val="-8"/>
                <w:sz w:val="24"/>
                <w:szCs w:val="24"/>
                <w:highlight w:val="none"/>
                <w:lang w:eastAsia="zh-CN"/>
                <w14:textFill>
                  <w14:solidFill>
                    <w14:schemeClr w14:val="tx1"/>
                  </w14:solidFill>
                </w14:textFill>
              </w:rPr>
              <w:t>授权委托书，且授权人和被授权人均在授权委托书上签名，未使用印章、</w:t>
            </w:r>
            <w:r>
              <w:rPr>
                <w:rFonts w:hint="eastAsia" w:ascii="仿宋" w:hAnsi="仿宋" w:cs="仿宋"/>
                <w:color w:val="000000" w:themeColor="text1"/>
                <w:spacing w:val="-1"/>
                <w:sz w:val="24"/>
                <w:szCs w:val="24"/>
                <w:highlight w:val="none"/>
                <w:lang w:eastAsia="zh-CN"/>
                <w14:textFill>
                  <w14:solidFill>
                    <w14:schemeClr w14:val="tx1"/>
                  </w14:solidFill>
                </w14:textFill>
              </w:rPr>
              <w:t>签名章或其他电子制版签名代替。</w:t>
            </w:r>
          </w:p>
          <w:p w14:paraId="306A381E">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（6）投标人法定代表人亲自签署投标文件</w:t>
            </w:r>
            <w:r>
              <w:rPr>
                <w:rFonts w:hint="eastAsia" w:ascii="仿宋" w:hAnsi="仿宋" w:cs="仿宋"/>
                <w:color w:val="000000" w:themeColor="text1"/>
                <w:spacing w:val="-1"/>
                <w:sz w:val="24"/>
                <w:szCs w:val="24"/>
                <w:highlight w:val="none"/>
                <w:lang w:eastAsia="zh-CN"/>
                <w14:textFill>
                  <w14:solidFill>
                    <w14:schemeClr w14:val="tx1"/>
                  </w14:solidFill>
                </w14:textFill>
              </w:rPr>
              <w:t>的，提供了法定代表人身份证明，且法定代表人在法定代表人身份证明上签名，未</w:t>
            </w:r>
            <w:r>
              <w:rPr>
                <w:rFonts w:hint="eastAsia" w:ascii="仿宋" w:hAnsi="仿宋" w:cs="仿宋"/>
                <w:color w:val="000000" w:themeColor="text1"/>
                <w:spacing w:val="-2"/>
                <w:sz w:val="24"/>
                <w:szCs w:val="24"/>
                <w:highlight w:val="none"/>
                <w:lang w:eastAsia="zh-CN"/>
                <w14:textFill>
                  <w14:solidFill>
                    <w14:schemeClr w14:val="tx1"/>
                  </w14:solidFill>
                </w14:textFill>
              </w:rPr>
              <w:t>使用印章、</w:t>
            </w:r>
            <w:r>
              <w:rPr>
                <w:rFonts w:hint="eastAsia" w:ascii="仿宋" w:hAnsi="仿宋" w:cs="仿宋"/>
                <w:color w:val="000000" w:themeColor="text1"/>
                <w:spacing w:val="-1"/>
                <w:sz w:val="24"/>
                <w:szCs w:val="24"/>
                <w:highlight w:val="none"/>
                <w:lang w:eastAsia="zh-CN"/>
                <w14:textFill>
                  <w14:solidFill>
                    <w14:schemeClr w14:val="tx1"/>
                  </w14:solidFill>
                </w14:textFill>
              </w:rPr>
              <w:t>签名章或其他电子制版签名代替。</w:t>
            </w:r>
          </w:p>
          <w:p w14:paraId="3ED18C53">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（7）投标人以联合体形式投标时，联合体满足招标文件的要求：</w:t>
            </w:r>
            <w:r>
              <w:rPr>
                <w:rFonts w:hint="eastAsia" w:ascii="仿宋" w:hAnsi="仿宋" w:cs="仿宋"/>
                <w:color w:val="000000" w:themeColor="text1"/>
                <w:spacing w:val="18"/>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a.未进行资格预审的，投标人按照招标文件提供的格式签订了联合</w:t>
            </w:r>
            <w:r>
              <w:rPr>
                <w:rFonts w:hint="eastAsia" w:ascii="仿宋" w:hAnsi="仿宋" w:cs="仿宋"/>
                <w:color w:val="000000" w:themeColor="text1"/>
                <w:spacing w:val="-1"/>
                <w:sz w:val="24"/>
                <w:szCs w:val="24"/>
                <w:highlight w:val="none"/>
                <w:lang w:eastAsia="zh-CN"/>
                <w14:textFill>
                  <w14:solidFill>
                    <w14:schemeClr w14:val="tx1"/>
                  </w14:solidFill>
                </w14:textFill>
              </w:rPr>
              <w:t>体协议书，明确各方承担连带责任，并明确了联合体牵头人；</w:t>
            </w:r>
          </w:p>
          <w:p w14:paraId="421F0B64">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b.</w:t>
            </w:r>
            <w:r>
              <w:rPr>
                <w:rFonts w:hint="eastAsia" w:ascii="仿宋" w:hAnsi="仿宋" w:cs="仿宋"/>
                <w:color w:val="000000" w:themeColor="text1"/>
                <w:spacing w:val="-10"/>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3"/>
                <w:sz w:val="24"/>
                <w:szCs w:val="24"/>
                <w:highlight w:val="none"/>
                <w:lang w:eastAsia="zh-CN"/>
                <w14:textFill>
                  <w14:solidFill>
                    <w14:schemeClr w14:val="tx1"/>
                  </w14:solidFill>
                </w14:textFill>
              </w:rPr>
              <w:t>已进行资格预审的，投标人提供了资格预审申请文件中所附的联</w:t>
            </w:r>
            <w:r>
              <w:rPr>
                <w:rFonts w:hint="eastAsia" w:ascii="仿宋" w:hAnsi="仿宋" w:cs="仿宋"/>
                <w:color w:val="000000" w:themeColor="text1"/>
                <w:spacing w:val="-4"/>
                <w:sz w:val="24"/>
                <w:szCs w:val="24"/>
                <w:highlight w:val="none"/>
                <w:lang w:eastAsia="zh-CN"/>
                <w14:textFill>
                  <w14:solidFill>
                    <w14:schemeClr w14:val="tx1"/>
                  </w14:solidFill>
                </w14:textFill>
              </w:rPr>
              <w:t>合体协议书复印件，且通过资格预审后的联合体无成员增减或更换的情况。</w:t>
            </w:r>
          </w:p>
          <w:p w14:paraId="5974D8A7">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（8）投标人如有分包计划，符合招标文件第二章“投标人须知”</w:t>
            </w:r>
            <w:r>
              <w:rPr>
                <w:rFonts w:hint="eastAsia" w:ascii="仿宋" w:hAnsi="仿宋" w:cs="仿宋"/>
                <w:color w:val="000000" w:themeColor="text1"/>
                <w:spacing w:val="-1"/>
                <w:sz w:val="24"/>
                <w:szCs w:val="24"/>
                <w:highlight w:val="none"/>
                <w:lang w:eastAsia="zh-CN"/>
                <w14:textFill>
                  <w14:solidFill>
                    <w14:schemeClr w14:val="tx1"/>
                  </w14:solidFill>
                </w14:textFill>
              </w:rPr>
              <w:t>第1.11款规定，且按招标文件第六章“投标文件格式”的要求填写了</w:t>
            </w:r>
            <w:r>
              <w:rPr>
                <w:rFonts w:hint="eastAsia" w:ascii="仿宋" w:hAnsi="仿宋" w:cs="仿宋"/>
                <w:color w:val="000000" w:themeColor="text1"/>
                <w:spacing w:val="-2"/>
                <w:sz w:val="24"/>
                <w:szCs w:val="24"/>
                <w:highlight w:val="none"/>
                <w:lang w:eastAsia="zh-CN"/>
                <w14:textFill>
                  <w14:solidFill>
                    <w14:schemeClr w14:val="tx1"/>
                  </w14:solidFill>
                </w14:textFill>
              </w:rPr>
              <w:t>“拟分包项目情况表</w:t>
            </w:r>
            <w:r>
              <w:rPr>
                <w:rFonts w:hint="eastAsia" w:ascii="仿宋" w:hAnsi="仿宋" w:cs="仿宋"/>
                <w:color w:val="000000" w:themeColor="text1"/>
                <w:spacing w:val="-76"/>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w:t>
            </w:r>
          </w:p>
          <w:p w14:paraId="6E392D3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（9）同一投标人未提交两个以上不同的投</w:t>
            </w:r>
            <w:r>
              <w:rPr>
                <w:rFonts w:hint="eastAsia" w:ascii="仿宋" w:hAnsi="仿宋" w:cs="仿宋"/>
                <w:color w:val="000000" w:themeColor="text1"/>
                <w:spacing w:val="-1"/>
                <w:sz w:val="24"/>
                <w:szCs w:val="24"/>
                <w:highlight w:val="none"/>
                <w:lang w:eastAsia="zh-CN"/>
                <w14:textFill>
                  <w14:solidFill>
                    <w14:schemeClr w14:val="tx1"/>
                  </w14:solidFill>
                </w14:textFill>
              </w:rPr>
              <w:t>标文件，但招标文件要求提交备选投标的除外。</w:t>
            </w:r>
          </w:p>
          <w:p w14:paraId="16639279">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（10）投标文件中未出现有关投标报价的内容。</w:t>
            </w:r>
          </w:p>
          <w:p w14:paraId="48D8D851">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4"/>
                <w:sz w:val="24"/>
                <w:szCs w:val="24"/>
                <w:highlight w:val="none"/>
                <w:lang w:eastAsia="zh-CN"/>
                <w14:textFill>
                  <w14:solidFill>
                    <w14:schemeClr w14:val="tx1"/>
                  </w14:solidFill>
                </w14:textFill>
              </w:rPr>
              <w:t>（11）投标文件载明的招标项目完成期限未超过招标文件规定的时</w:t>
            </w:r>
            <w:r>
              <w:rPr>
                <w:rFonts w:hint="eastAsia" w:ascii="仿宋" w:hAnsi="仿宋" w:cs="仿宋"/>
                <w:color w:val="000000" w:themeColor="text1"/>
                <w:spacing w:val="-11"/>
                <w:sz w:val="24"/>
                <w:szCs w:val="24"/>
                <w:highlight w:val="none"/>
                <w:lang w:eastAsia="zh-CN"/>
                <w14:textFill>
                  <w14:solidFill>
                    <w14:schemeClr w14:val="tx1"/>
                  </w14:solidFill>
                </w14:textFill>
              </w:rPr>
              <w:t>限。</w:t>
            </w:r>
          </w:p>
          <w:p w14:paraId="52569D0E">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（12）投标文件对招标文件的实质性要求和条件作出响应。</w:t>
            </w:r>
          </w:p>
          <w:p w14:paraId="77D0CC5D">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（13）权利义务符合招标文件规定：</w:t>
            </w:r>
          </w:p>
          <w:p w14:paraId="6552CA65">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a.投标人应接受招标文件规定的风险划分原则，未提出新的风险划</w:t>
            </w:r>
            <w:r>
              <w:rPr>
                <w:rFonts w:hint="eastAsia" w:ascii="仿宋" w:hAnsi="仿宋" w:cs="仿宋"/>
                <w:color w:val="000000" w:themeColor="text1"/>
                <w:spacing w:val="14"/>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分办法；</w:t>
            </w:r>
          </w:p>
          <w:p w14:paraId="4E7BFE47">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b.投标人未增加发包人的责任范围，或减少投标人</w:t>
            </w:r>
            <w:r>
              <w:rPr>
                <w:rFonts w:hint="eastAsia" w:ascii="仿宋" w:hAnsi="仿宋" w:cs="仿宋"/>
                <w:color w:val="000000" w:themeColor="text1"/>
                <w:spacing w:val="-2"/>
                <w:sz w:val="24"/>
                <w:szCs w:val="24"/>
                <w:highlight w:val="none"/>
                <w:lang w:eastAsia="zh-CN"/>
                <w14:textFill>
                  <w14:solidFill>
                    <w14:schemeClr w14:val="tx1"/>
                  </w14:solidFill>
                </w14:textFill>
              </w:rPr>
              <w:t>义务；</w:t>
            </w:r>
          </w:p>
          <w:p w14:paraId="6756915A">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c.投标人未提出不同的支付办法；</w:t>
            </w:r>
          </w:p>
          <w:p w14:paraId="5BCD239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d.投标人对合同纠纷、事故处理办法未提出异议；</w:t>
            </w:r>
            <w:r>
              <w:rPr>
                <w:rFonts w:hint="eastAsia" w:ascii="仿宋" w:hAnsi="仿宋" w:cs="仿宋"/>
                <w:color w:val="000000" w:themeColor="text1"/>
                <w:spacing w:val="16"/>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e.投标人在投标活动中无欺诈行为；</w:t>
            </w:r>
          </w:p>
          <w:p w14:paraId="7A1EDC72">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f.投标人未对合同条款有重要保留。</w:t>
            </w:r>
          </w:p>
          <w:p w14:paraId="2B440D03">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（14）投标文件正、副本份数符合招标文件第二章“投标人须知”</w:t>
            </w:r>
            <w:r>
              <w:rPr>
                <w:rFonts w:hint="eastAsia" w:ascii="仿宋" w:hAnsi="仿宋" w:cs="仿宋"/>
                <w:color w:val="000000" w:themeColor="text1"/>
                <w:spacing w:val="16"/>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第</w:t>
            </w:r>
            <w:r>
              <w:rPr>
                <w:rFonts w:hint="eastAsia" w:ascii="仿宋" w:hAnsi="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2"/>
                <w:sz w:val="24"/>
                <w:szCs w:val="24"/>
                <w:highlight w:val="none"/>
                <w:lang w:eastAsia="zh-CN"/>
                <w14:textFill>
                  <w14:solidFill>
                    <w14:schemeClr w14:val="tx1"/>
                  </w14:solidFill>
                </w14:textFill>
              </w:rPr>
              <w:t>3.7.4 项规定。</w:t>
            </w:r>
          </w:p>
        </w:tc>
      </w:tr>
      <w:tr w14:paraId="1647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2" w:type="dxa"/>
          <w:trHeight w:val="388" w:hRule="atLeast"/>
        </w:trPr>
        <w:tc>
          <w:tcPr>
            <w:tcW w:w="2497" w:type="dxa"/>
            <w:gridSpan w:val="2"/>
            <w:tcBorders>
              <w:right w:val="single" w:color="000000" w:sz="4" w:space="0"/>
            </w:tcBorders>
          </w:tcPr>
          <w:p w14:paraId="7FCB5A0F">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4"/>
                <w:sz w:val="24"/>
                <w:szCs w:val="24"/>
                <w:highlight w:val="none"/>
                <w14:textFill>
                  <w14:solidFill>
                    <w14:schemeClr w14:val="tx1"/>
                  </w14:solidFill>
                </w14:textFill>
              </w:rPr>
              <w:t>条款号</w:t>
            </w:r>
          </w:p>
        </w:tc>
        <w:tc>
          <w:tcPr>
            <w:tcW w:w="7346" w:type="dxa"/>
            <w:gridSpan w:val="2"/>
            <w:tcBorders>
              <w:left w:val="single" w:color="000000" w:sz="4" w:space="0"/>
            </w:tcBorders>
          </w:tcPr>
          <w:p w14:paraId="3056A518">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4"/>
                <w:sz w:val="24"/>
                <w:szCs w:val="24"/>
                <w:highlight w:val="none"/>
                <w14:textFill>
                  <w14:solidFill>
                    <w14:schemeClr w14:val="tx1"/>
                  </w14:solidFill>
                </w14:textFill>
              </w:rPr>
              <w:t>评审因素与评审标准</w:t>
            </w:r>
          </w:p>
        </w:tc>
      </w:tr>
      <w:tr w14:paraId="024A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2" w:type="dxa"/>
          <w:trHeight w:val="5182" w:hRule="atLeast"/>
        </w:trPr>
        <w:tc>
          <w:tcPr>
            <w:tcW w:w="1091" w:type="dxa"/>
          </w:tcPr>
          <w:p w14:paraId="75F371E0">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tc>
        <w:tc>
          <w:tcPr>
            <w:tcW w:w="1406" w:type="dxa"/>
            <w:tcBorders>
              <w:right w:val="single" w:color="000000" w:sz="4" w:space="0"/>
            </w:tcBorders>
          </w:tcPr>
          <w:p w14:paraId="087E556B">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tc>
        <w:tc>
          <w:tcPr>
            <w:tcW w:w="7346" w:type="dxa"/>
            <w:gridSpan w:val="2"/>
            <w:tcBorders>
              <w:left w:val="single" w:color="000000" w:sz="4" w:space="0"/>
            </w:tcBorders>
          </w:tcPr>
          <w:p w14:paraId="21F4CB89">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b/>
                <w:bCs/>
                <w:color w:val="000000" w:themeColor="text1"/>
                <w:spacing w:val="-5"/>
                <w:sz w:val="24"/>
                <w:szCs w:val="24"/>
                <w:highlight w:val="none"/>
                <w:lang w:eastAsia="zh-CN"/>
                <w14:textFill>
                  <w14:solidFill>
                    <w14:schemeClr w14:val="tx1"/>
                  </w14:solidFill>
                </w14:textFill>
              </w:rPr>
              <w:t>第二个信封（报价文件）评审标准：</w:t>
            </w:r>
          </w:p>
          <w:p w14:paraId="1A5452FD">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（1）投标文件按照招标文件规定的格式、</w:t>
            </w:r>
            <w:r>
              <w:rPr>
                <w:rFonts w:hint="eastAsia" w:ascii="仿宋" w:hAnsi="仿宋" w:cs="仿宋"/>
                <w:color w:val="000000" w:themeColor="text1"/>
                <w:spacing w:val="-1"/>
                <w:sz w:val="24"/>
                <w:szCs w:val="24"/>
                <w:highlight w:val="none"/>
                <w:lang w:eastAsia="zh-CN"/>
                <w14:textFill>
                  <w14:solidFill>
                    <w14:schemeClr w14:val="tx1"/>
                  </w14:solidFill>
                </w14:textFill>
              </w:rPr>
              <w:t>内容填写，字迹清晰可辨，内容齐全完整：</w:t>
            </w:r>
          </w:p>
          <w:p w14:paraId="786800CC">
            <w:pPr>
              <w:spacing w:beforeLines="0" w:afterLines="0" w:line="240" w:lineRule="auto"/>
              <w:ind w:right="107"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8"/>
                <w:sz w:val="24"/>
                <w:szCs w:val="24"/>
                <w:highlight w:val="none"/>
                <w:lang w:eastAsia="zh-CN"/>
                <w14:textFill>
                  <w14:solidFill>
                    <w14:schemeClr w14:val="tx1"/>
                  </w14:solidFill>
                </w14:textFill>
              </w:rPr>
              <w:t>a.投标函按招标文件规定填报了项目名称、标段号</w:t>
            </w:r>
            <w:r>
              <w:rPr>
                <w:rFonts w:hint="eastAsia" w:ascii="仿宋" w:hAnsi="仿宋" w:cs="仿宋"/>
                <w:color w:val="000000" w:themeColor="text1"/>
                <w:spacing w:val="-9"/>
                <w:sz w:val="24"/>
                <w:szCs w:val="24"/>
                <w:highlight w:val="none"/>
                <w:lang w:eastAsia="zh-CN"/>
                <w14:textFill>
                  <w14:solidFill>
                    <w14:schemeClr w14:val="tx1"/>
                  </w14:solidFill>
                </w14:textFill>
              </w:rPr>
              <w:t>、补遗书编号（如</w:t>
            </w:r>
            <w:r>
              <w:rPr>
                <w:rFonts w:hint="eastAsia" w:ascii="仿宋" w:hAnsi="仿宋" w:cs="仿宋"/>
                <w:color w:val="000000" w:themeColor="text1"/>
                <w:spacing w:val="-10"/>
                <w:sz w:val="24"/>
                <w:szCs w:val="24"/>
                <w:highlight w:val="none"/>
                <w:lang w:eastAsia="zh-CN"/>
                <w14:textFill>
                  <w14:solidFill>
                    <w14:schemeClr w14:val="tx1"/>
                  </w14:solidFill>
                </w14:textFill>
              </w:rPr>
              <w:t>有）、投标价（包括大写金额和小写金额</w:t>
            </w:r>
            <w:r>
              <w:rPr>
                <w:rFonts w:hint="eastAsia" w:ascii="仿宋" w:hAnsi="仿宋" w:cs="仿宋"/>
                <w:color w:val="000000" w:themeColor="text1"/>
                <w:spacing w:val="-26"/>
                <w:sz w:val="24"/>
                <w:szCs w:val="24"/>
                <w:highlight w:val="none"/>
                <w:lang w:eastAsia="zh-CN"/>
                <w14:textFill>
                  <w14:solidFill>
                    <w14:schemeClr w14:val="tx1"/>
                  </w14:solidFill>
                </w14:textFill>
              </w:rPr>
              <w:t>）；</w:t>
            </w:r>
          </w:p>
          <w:p w14:paraId="570DD90D">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b.已标价报价清单说明文字与招标文件规定一致，未进行实质性修</w:t>
            </w:r>
            <w:r>
              <w:rPr>
                <w:rFonts w:hint="eastAsia" w:ascii="仿宋" w:hAnsi="仿宋" w:cs="仿宋"/>
                <w:color w:val="000000" w:themeColor="text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3"/>
                <w:sz w:val="24"/>
                <w:szCs w:val="24"/>
                <w:highlight w:val="none"/>
                <w:lang w:eastAsia="zh-CN"/>
                <w14:textFill>
                  <w14:solidFill>
                    <w14:schemeClr w14:val="tx1"/>
                  </w14:solidFill>
                </w14:textFill>
              </w:rPr>
              <w:t>改和删减；</w:t>
            </w:r>
          </w:p>
          <w:p w14:paraId="317DEE4E">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c.投标文件组成齐全完整，内容均按规定填写。</w:t>
            </w:r>
          </w:p>
          <w:p w14:paraId="52DF27D9">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（2）投标文件上法定代表人或其委托代理</w:t>
            </w:r>
            <w:r>
              <w:rPr>
                <w:rFonts w:hint="eastAsia" w:ascii="仿宋" w:hAnsi="仿宋" w:cs="仿宋"/>
                <w:color w:val="000000" w:themeColor="text1"/>
                <w:spacing w:val="-1"/>
                <w:sz w:val="24"/>
                <w:szCs w:val="24"/>
                <w:highlight w:val="none"/>
                <w:lang w:eastAsia="zh-CN"/>
                <w14:textFill>
                  <w14:solidFill>
                    <w14:schemeClr w14:val="tx1"/>
                  </w14:solidFill>
                </w14:textFill>
              </w:rPr>
              <w:t>人的签字、投标人的单位章盖章齐全，符合招标文件规定。</w:t>
            </w:r>
          </w:p>
          <w:p w14:paraId="6208B642">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（3）投标报价未超过招标文件设定的最高投标限价（如有）。</w:t>
            </w:r>
          </w:p>
          <w:p w14:paraId="0B8D447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（4）投标报价的大写金额能够确定具体数值。</w:t>
            </w:r>
          </w:p>
          <w:p w14:paraId="654F8ACA">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（5）同一投标人未提交两个以上不同的投</w:t>
            </w:r>
            <w:r>
              <w:rPr>
                <w:rFonts w:hint="eastAsia" w:ascii="仿宋" w:hAnsi="仿宋" w:cs="仿宋"/>
                <w:color w:val="000000" w:themeColor="text1"/>
                <w:spacing w:val="-1"/>
                <w:sz w:val="24"/>
                <w:szCs w:val="24"/>
                <w:highlight w:val="none"/>
                <w:lang w:eastAsia="zh-CN"/>
                <w14:textFill>
                  <w14:solidFill>
                    <w14:schemeClr w14:val="tx1"/>
                  </w14:solidFill>
                </w14:textFill>
              </w:rPr>
              <w:t>标报价，但招标文件要求提交备选投标的除外。</w:t>
            </w:r>
          </w:p>
          <w:p w14:paraId="42D647EB">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（6）投标文件正、副本份数符合招标文件第二章“投标人须知”第</w:t>
            </w:r>
            <w:r>
              <w:rPr>
                <w:rFonts w:hint="eastAsia" w:ascii="仿宋" w:hAnsi="仿宋" w:cs="仿宋"/>
                <w:color w:val="000000" w:themeColor="text1"/>
                <w:spacing w:val="-1"/>
                <w:sz w:val="24"/>
                <w:szCs w:val="24"/>
                <w:highlight w:val="none"/>
                <w:lang w:eastAsia="zh-CN"/>
                <w14:textFill>
                  <w14:solidFill>
                    <w14:schemeClr w14:val="tx1"/>
                  </w14:solidFill>
                </w14:textFill>
              </w:rPr>
              <w:t>3.7.4项规定。</w:t>
            </w:r>
          </w:p>
          <w:p w14:paraId="26DFC8D7">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6"/>
                <w:position w:val="1"/>
                <w:sz w:val="24"/>
                <w:szCs w:val="24"/>
                <w:highlight w:val="none"/>
                <w14:textFill>
                  <w14:solidFill>
                    <w14:schemeClr w14:val="tx1"/>
                  </w14:solidFill>
                </w14:textFill>
              </w:rPr>
              <w:t>……</w:t>
            </w:r>
          </w:p>
        </w:tc>
      </w:tr>
      <w:tr w14:paraId="20FD2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2" w:type="dxa"/>
          <w:trHeight w:val="4234" w:hRule="atLeast"/>
        </w:trPr>
        <w:tc>
          <w:tcPr>
            <w:tcW w:w="1091" w:type="dxa"/>
          </w:tcPr>
          <w:p w14:paraId="327C98A0">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7C906566">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7371D151">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36B57D8F">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5382AC51">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290CD3CB">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6D190511">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7A71A204">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2C13986A">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4A582272">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2.1.2</w:t>
            </w:r>
          </w:p>
        </w:tc>
        <w:tc>
          <w:tcPr>
            <w:tcW w:w="1406" w:type="dxa"/>
            <w:tcBorders>
              <w:right w:val="single" w:color="000000" w:sz="4" w:space="0"/>
            </w:tcBorders>
          </w:tcPr>
          <w:p w14:paraId="1B98FA8B">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355A6A0F">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3951EA74">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48FFFFC0">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127D01A5">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5C16C97B">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3CB2C5BC">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619552A4">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p w14:paraId="2ACEDCF3">
            <w:pPr>
              <w:spacing w:beforeLines="0" w:afterLines="0" w:line="240" w:lineRule="auto"/>
              <w:ind w:right="109"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3"/>
                <w:sz w:val="24"/>
                <w:szCs w:val="24"/>
                <w:highlight w:val="none"/>
                <w14:textFill>
                  <w14:solidFill>
                    <w14:schemeClr w14:val="tx1"/>
                  </w14:solidFill>
                </w14:textFill>
              </w:rPr>
              <w:t>资格评审标</w:t>
            </w:r>
            <w:r>
              <w:rPr>
                <w:rFonts w:hint="eastAsia" w:ascii="仿宋" w:hAnsi="仿宋" w:cs="仿宋"/>
                <w:color w:val="000000" w:themeColor="text1"/>
                <w:spacing w:val="-5"/>
                <w:position w:val="-2"/>
                <w:sz w:val="24"/>
                <w:szCs w:val="24"/>
                <w:highlight w:val="none"/>
                <w14:textFill>
                  <w14:solidFill>
                    <w14:schemeClr w14:val="tx1"/>
                  </w14:solidFill>
                </w14:textFill>
              </w:rPr>
              <w:t>准</w:t>
            </w:r>
          </w:p>
        </w:tc>
        <w:tc>
          <w:tcPr>
            <w:tcW w:w="7346" w:type="dxa"/>
            <w:gridSpan w:val="2"/>
            <w:tcBorders>
              <w:left w:val="single" w:color="000000" w:sz="4" w:space="0"/>
            </w:tcBorders>
          </w:tcPr>
          <w:p w14:paraId="4C40EAE8">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（1）投标人具备有效的营业执照、组织机</w:t>
            </w:r>
            <w:r>
              <w:rPr>
                <w:rFonts w:hint="eastAsia" w:ascii="仿宋" w:hAnsi="仿宋" w:cs="仿宋"/>
                <w:color w:val="000000" w:themeColor="text1"/>
                <w:spacing w:val="-1"/>
                <w:sz w:val="24"/>
                <w:szCs w:val="24"/>
                <w:highlight w:val="none"/>
                <w:lang w:eastAsia="zh-CN"/>
                <w14:textFill>
                  <w14:solidFill>
                    <w14:schemeClr w14:val="tx1"/>
                  </w14:solidFill>
                </w14:textFill>
              </w:rPr>
              <w:t>构代码证、勘察资质证</w:t>
            </w:r>
            <w:r>
              <w:rPr>
                <w:rFonts w:hint="eastAsia" w:ascii="仿宋" w:hAnsi="仿宋" w:cs="仿宋"/>
                <w:color w:val="000000" w:themeColor="text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书、设计资质证书和基本账户开户许可证。</w:t>
            </w:r>
          </w:p>
          <w:p w14:paraId="52124A1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（2）投标人的资质等级符合招标文件规定。</w:t>
            </w:r>
          </w:p>
          <w:p w14:paraId="0B8CEF72">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（3）投标人的类似项目业绩符合招标文件规定。</w:t>
            </w:r>
          </w:p>
          <w:p w14:paraId="647310D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（4）投标人的信誉符合招标文件规定。</w:t>
            </w:r>
          </w:p>
          <w:p w14:paraId="55958C70">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（5）投标人的项目负责人资格符合招标文件规定。</w:t>
            </w:r>
          </w:p>
          <w:p w14:paraId="11330607">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（6）投标人的其他要求符合招标文件规定。</w:t>
            </w:r>
          </w:p>
          <w:p w14:paraId="2B638456">
            <w:pPr>
              <w:spacing w:beforeLines="0" w:afterLines="0" w:line="240" w:lineRule="auto"/>
              <w:ind w:right="107"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（7）投标人不存在第二章“投标人须知”第1.4.</w:t>
            </w:r>
            <w:r>
              <w:rPr>
                <w:rFonts w:hint="eastAsia" w:ascii="仿宋" w:hAnsi="仿宋" w:cs="仿宋"/>
                <w:color w:val="000000" w:themeColor="text1"/>
                <w:spacing w:val="-3"/>
                <w:sz w:val="24"/>
                <w:szCs w:val="24"/>
                <w:highlight w:val="none"/>
                <w:lang w:eastAsia="zh-CN"/>
                <w14:textFill>
                  <w14:solidFill>
                    <w14:schemeClr w14:val="tx1"/>
                  </w14:solidFill>
                </w14:textFill>
              </w:rPr>
              <w:t>3项或第1.4.4项规</w:t>
            </w:r>
            <w:r>
              <w:rPr>
                <w:rFonts w:hint="eastAsia" w:ascii="仿宋" w:hAnsi="仿宋" w:cs="仿宋"/>
                <w:color w:val="000000" w:themeColor="text1"/>
                <w:spacing w:val="-2"/>
                <w:sz w:val="24"/>
                <w:szCs w:val="24"/>
                <w:highlight w:val="none"/>
                <w:lang w:eastAsia="zh-CN"/>
                <w14:textFill>
                  <w14:solidFill>
                    <w14:schemeClr w14:val="tx1"/>
                  </w14:solidFill>
                </w14:textFill>
              </w:rPr>
              <w:t>定的任何一种情形。</w:t>
            </w:r>
          </w:p>
          <w:p w14:paraId="69ACBB2E">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（8）投标人符合第二章“投标人须知”第1.4.5</w:t>
            </w:r>
            <w:r>
              <w:rPr>
                <w:rFonts w:hint="eastAsia" w:ascii="仿宋" w:hAnsi="仿宋" w:cs="仿宋"/>
                <w:color w:val="000000" w:themeColor="text1"/>
                <w:spacing w:val="-2"/>
                <w:sz w:val="24"/>
                <w:szCs w:val="24"/>
                <w:highlight w:val="none"/>
                <w:lang w:eastAsia="zh-CN"/>
                <w14:textFill>
                  <w14:solidFill>
                    <w14:schemeClr w14:val="tx1"/>
                  </w14:solidFill>
                </w14:textFill>
              </w:rPr>
              <w:t>项规定。</w:t>
            </w:r>
          </w:p>
          <w:p w14:paraId="47794FE2">
            <w:pPr>
              <w:spacing w:beforeLines="0" w:afterLines="0" w:line="240" w:lineRule="auto"/>
              <w:ind w:right="105"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（9）以联合体形式参与投标的，联合体各</w:t>
            </w:r>
            <w:r>
              <w:rPr>
                <w:rFonts w:hint="eastAsia" w:ascii="仿宋" w:hAnsi="仿宋" w:cs="仿宋"/>
                <w:color w:val="000000" w:themeColor="text1"/>
                <w:spacing w:val="-1"/>
                <w:sz w:val="24"/>
                <w:szCs w:val="24"/>
                <w:highlight w:val="none"/>
                <w:lang w:eastAsia="zh-CN"/>
                <w14:textFill>
                  <w14:solidFill>
                    <w14:schemeClr w14:val="tx1"/>
                  </w14:solidFill>
                </w14:textFill>
              </w:rPr>
              <w:t>方均未再以自己名义单</w:t>
            </w:r>
            <w:r>
              <w:rPr>
                <w:rFonts w:hint="eastAsia" w:ascii="仿宋" w:hAnsi="仿宋" w:cs="仿宋"/>
                <w:color w:val="000000" w:themeColor="text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4"/>
                <w:sz w:val="24"/>
                <w:szCs w:val="24"/>
                <w:highlight w:val="none"/>
                <w:lang w:eastAsia="zh-CN"/>
                <w14:textFill>
                  <w14:solidFill>
                    <w14:schemeClr w14:val="tx1"/>
                  </w14:solidFill>
                </w14:textFill>
              </w:rPr>
              <w:t>独或参加其他联合体在同一标段中投标；独立参与投标的，投标人未同</w:t>
            </w:r>
            <w:r>
              <w:rPr>
                <w:rFonts w:hint="eastAsia" w:ascii="仿宋" w:hAnsi="仿宋" w:cs="仿宋"/>
                <w:color w:val="000000" w:themeColor="text1"/>
                <w:spacing w:val="-1"/>
                <w:sz w:val="24"/>
                <w:szCs w:val="24"/>
                <w:highlight w:val="none"/>
                <w:lang w:eastAsia="zh-CN"/>
                <w14:textFill>
                  <w14:solidFill>
                    <w14:schemeClr w14:val="tx1"/>
                  </w14:solidFill>
                </w14:textFill>
              </w:rPr>
              <w:t>时参加联合体在同一标段中投标。</w:t>
            </w:r>
          </w:p>
        </w:tc>
      </w:tr>
      <w:tr w14:paraId="5D92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jc w:val="center"/>
        </w:trPr>
        <w:tc>
          <w:tcPr>
            <w:tcW w:w="1093" w:type="dxa"/>
            <w:vAlign w:val="center"/>
          </w:tcPr>
          <w:p w14:paraId="4B743B1B">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2.2.1</w:t>
            </w:r>
          </w:p>
        </w:tc>
        <w:tc>
          <w:tcPr>
            <w:tcW w:w="1406" w:type="dxa"/>
            <w:vAlign w:val="center"/>
          </w:tcPr>
          <w:p w14:paraId="3EF77B9B">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3337DEE6">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2"/>
                <w:sz w:val="24"/>
                <w:szCs w:val="24"/>
                <w:highlight w:val="none"/>
                <w14:textFill>
                  <w14:solidFill>
                    <w14:schemeClr w14:val="tx1"/>
                  </w14:solidFill>
                </w14:textFill>
              </w:rPr>
              <w:t>分值构成</w:t>
            </w:r>
          </w:p>
          <w:p w14:paraId="5C8E3C6C">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5"/>
                <w:sz w:val="24"/>
                <w:szCs w:val="24"/>
                <w:highlight w:val="none"/>
                <w14:textFill>
                  <w14:solidFill>
                    <w14:schemeClr w14:val="tx1"/>
                  </w14:solidFill>
                </w14:textFill>
              </w:rPr>
              <w:t>（总分100分）</w:t>
            </w:r>
          </w:p>
        </w:tc>
        <w:tc>
          <w:tcPr>
            <w:tcW w:w="7608" w:type="dxa"/>
            <w:gridSpan w:val="3"/>
          </w:tcPr>
          <w:p w14:paraId="3CC984C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b/>
                <w:bCs/>
                <w:color w:val="000000" w:themeColor="text1"/>
                <w:spacing w:val="-2"/>
                <w:sz w:val="24"/>
                <w:szCs w:val="24"/>
                <w:highlight w:val="none"/>
                <w:lang w:eastAsia="zh-CN"/>
                <w14:textFill>
                  <w14:solidFill>
                    <w14:schemeClr w14:val="tx1"/>
                  </w14:solidFill>
                </w14:textFill>
              </w:rPr>
              <w:t>第一个信封（商务及技术文件）评分分值构成：</w:t>
            </w:r>
          </w:p>
          <w:p w14:paraId="321A508D">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技术建议书：</w:t>
            </w:r>
            <w:r>
              <w:rPr>
                <w:rFonts w:hint="eastAsia" w:ascii="仿宋" w:hAnsi="仿宋" w:cs="仿宋"/>
                <w:color w:val="000000" w:themeColor="text1"/>
                <w:spacing w:val="-2"/>
                <w:sz w:val="24"/>
                <w:szCs w:val="24"/>
                <w:highlight w:val="none"/>
                <w:u w:val="single"/>
                <w:lang w:eastAsia="zh-CN"/>
                <w14:textFill>
                  <w14:solidFill>
                    <w14:schemeClr w14:val="tx1"/>
                  </w14:solidFill>
                </w14:textFill>
              </w:rPr>
              <w:t xml:space="preserve">  45   </w:t>
            </w:r>
            <w:r>
              <w:rPr>
                <w:rFonts w:hint="eastAsia" w:ascii="仿宋" w:hAnsi="仿宋" w:cs="仿宋"/>
                <w:color w:val="000000" w:themeColor="text1"/>
                <w:spacing w:val="-2"/>
                <w:sz w:val="24"/>
                <w:szCs w:val="24"/>
                <w:highlight w:val="none"/>
                <w:lang w:eastAsia="zh-CN"/>
                <w14:textFill>
                  <w14:solidFill>
                    <w14:schemeClr w14:val="tx1"/>
                  </w14:solidFill>
                </w14:textFill>
              </w:rPr>
              <w:t>分</w:t>
            </w:r>
            <w:r>
              <w:rPr>
                <w:rFonts w:hint="eastAsia" w:ascii="仿宋" w:hAnsi="仿宋" w:cs="仿宋"/>
                <w:color w:val="000000" w:themeColor="text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主要人员：</w:t>
            </w:r>
            <w:r>
              <w:rPr>
                <w:rFonts w:hint="eastAsia" w:ascii="仿宋" w:hAnsi="仿宋" w:cs="仿宋"/>
                <w:color w:val="000000" w:themeColor="text1"/>
                <w:spacing w:val="-1"/>
                <w:sz w:val="24"/>
                <w:szCs w:val="24"/>
                <w:highlight w:val="none"/>
                <w:u w:val="single"/>
                <w:lang w:eastAsia="zh-CN"/>
                <w14:textFill>
                  <w14:solidFill>
                    <w14:schemeClr w14:val="tx1"/>
                  </w14:solidFill>
                </w14:textFill>
              </w:rPr>
              <w:t xml:space="preserve">  25    </w:t>
            </w:r>
            <w:r>
              <w:rPr>
                <w:rFonts w:hint="eastAsia" w:ascii="仿宋" w:hAnsi="仿宋" w:cs="仿宋"/>
                <w:color w:val="000000" w:themeColor="text1"/>
                <w:spacing w:val="-9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分</w:t>
            </w:r>
          </w:p>
          <w:p w14:paraId="721C6D84">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业绩：</w:t>
            </w:r>
            <w:r>
              <w:rPr>
                <w:rFonts w:hint="eastAsia" w:ascii="仿宋" w:hAnsi="仿宋" w:cs="仿宋"/>
                <w:color w:val="000000" w:themeColor="text1"/>
                <w:spacing w:val="-1"/>
                <w:sz w:val="24"/>
                <w:szCs w:val="24"/>
                <w:highlight w:val="none"/>
                <w:u w:val="single"/>
                <w:lang w:eastAsia="zh-CN"/>
                <w14:textFill>
                  <w14:solidFill>
                    <w14:schemeClr w14:val="tx1"/>
                  </w14:solidFill>
                </w14:textFill>
              </w:rPr>
              <w:t xml:space="preserve"> 15     </w:t>
            </w:r>
            <w:r>
              <w:rPr>
                <w:rFonts w:hint="eastAsia" w:ascii="仿宋" w:hAnsi="仿宋" w:cs="仿宋"/>
                <w:color w:val="000000" w:themeColor="text1"/>
                <w:spacing w:val="-91"/>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分</w:t>
            </w:r>
          </w:p>
          <w:p w14:paraId="46B221BA">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履约信誉：</w:t>
            </w:r>
            <w:r>
              <w:rPr>
                <w:rFonts w:hint="eastAsia" w:ascii="仿宋" w:hAnsi="仿宋" w:cs="仿宋"/>
                <w:color w:val="000000" w:themeColor="text1"/>
                <w:spacing w:val="-1"/>
                <w:sz w:val="24"/>
                <w:szCs w:val="24"/>
                <w:highlight w:val="none"/>
                <w:u w:val="single"/>
                <w:lang w:eastAsia="zh-CN"/>
                <w14:textFill>
                  <w14:solidFill>
                    <w14:schemeClr w14:val="tx1"/>
                  </w14:solidFill>
                </w14:textFill>
              </w:rPr>
              <w:t xml:space="preserve">  5    </w:t>
            </w:r>
            <w:r>
              <w:rPr>
                <w:rFonts w:hint="eastAsia" w:ascii="仿宋" w:hAnsi="仿宋" w:cs="仿宋"/>
                <w:color w:val="000000" w:themeColor="text1"/>
                <w:spacing w:val="-93"/>
                <w:sz w:val="24"/>
                <w:szCs w:val="24"/>
                <w:highlight w:val="none"/>
                <w:lang w:eastAsia="zh-CN"/>
                <w14:textFill>
                  <w14:solidFill>
                    <w14:schemeClr w14:val="tx1"/>
                  </w14:solidFill>
                </w14:textFill>
              </w:rPr>
              <w:t xml:space="preserve"> </w:t>
            </w:r>
            <w:r>
              <w:rPr>
                <w:rFonts w:hint="eastAsia" w:ascii="仿宋" w:hAnsi="仿宋" w:cs="仿宋"/>
                <w:color w:val="000000" w:themeColor="text1"/>
                <w:spacing w:val="-1"/>
                <w:sz w:val="24"/>
                <w:szCs w:val="24"/>
                <w:highlight w:val="none"/>
                <w:lang w:eastAsia="zh-CN"/>
                <w14:textFill>
                  <w14:solidFill>
                    <w14:schemeClr w14:val="tx1"/>
                  </w14:solidFill>
                </w14:textFill>
              </w:rPr>
              <w:t>分</w:t>
            </w:r>
          </w:p>
          <w:p w14:paraId="5C548C5F">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6"/>
                <w:position w:val="1"/>
                <w:sz w:val="24"/>
                <w:szCs w:val="24"/>
                <w:highlight w:val="none"/>
                <w:lang w:eastAsia="zh-CN"/>
                <w14:textFill>
                  <w14:solidFill>
                    <w14:schemeClr w14:val="tx1"/>
                  </w14:solidFill>
                </w14:textFill>
              </w:rPr>
              <w:t>……</w:t>
            </w:r>
          </w:p>
          <w:p w14:paraId="32E1E99A">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b/>
                <w:bCs/>
                <w:color w:val="000000" w:themeColor="text1"/>
                <w:spacing w:val="-5"/>
                <w:sz w:val="24"/>
                <w:szCs w:val="24"/>
                <w:highlight w:val="none"/>
                <w:lang w:eastAsia="zh-CN"/>
                <w14:textFill>
                  <w14:solidFill>
                    <w14:schemeClr w14:val="tx1"/>
                  </w14:solidFill>
                </w14:textFill>
              </w:rPr>
              <w:t>第二个信封（报价文件）评分分值构成：</w:t>
            </w:r>
          </w:p>
          <w:p w14:paraId="6C3A65EB">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6"/>
                <w:sz w:val="24"/>
                <w:szCs w:val="24"/>
                <w:highlight w:val="none"/>
                <w14:textFill>
                  <w14:solidFill>
                    <w14:schemeClr w14:val="tx1"/>
                  </w14:solidFill>
                </w14:textFill>
              </w:rPr>
              <w:t>评标价：</w:t>
            </w:r>
            <w:r>
              <w:rPr>
                <w:rFonts w:hint="eastAsia" w:ascii="仿宋" w:hAnsi="仿宋" w:cs="仿宋"/>
                <w:color w:val="000000" w:themeColor="text1"/>
                <w:spacing w:val="1"/>
                <w:sz w:val="24"/>
                <w:szCs w:val="24"/>
                <w:highlight w:val="none"/>
                <w:lang w:eastAsia="zh-CN"/>
                <w14:textFill>
                  <w14:solidFill>
                    <w14:schemeClr w14:val="tx1"/>
                  </w14:solidFill>
                </w14:textFill>
              </w:rPr>
              <w:t>10</w:t>
            </w:r>
            <w:r>
              <w:rPr>
                <w:rFonts w:hint="eastAsia" w:ascii="仿宋" w:hAnsi="仿宋" w:cs="仿宋"/>
                <w:color w:val="000000" w:themeColor="text1"/>
                <w:spacing w:val="-6"/>
                <w:sz w:val="24"/>
                <w:szCs w:val="24"/>
                <w:highlight w:val="none"/>
                <w14:textFill>
                  <w14:solidFill>
                    <w14:schemeClr w14:val="tx1"/>
                  </w14:solidFill>
                </w14:textFill>
              </w:rPr>
              <w:t>分</w:t>
            </w:r>
          </w:p>
        </w:tc>
      </w:tr>
      <w:tr w14:paraId="6988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jc w:val="center"/>
        </w:trPr>
        <w:tc>
          <w:tcPr>
            <w:tcW w:w="1093" w:type="dxa"/>
            <w:vMerge w:val="restart"/>
            <w:vAlign w:val="center"/>
          </w:tcPr>
          <w:p w14:paraId="73EB8361">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2.2.2</w:t>
            </w:r>
          </w:p>
        </w:tc>
        <w:tc>
          <w:tcPr>
            <w:tcW w:w="1406" w:type="dxa"/>
            <w:vMerge w:val="restart"/>
            <w:vAlign w:val="center"/>
          </w:tcPr>
          <w:p w14:paraId="60B799BD">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评标基准价计</w:t>
            </w:r>
            <w:r>
              <w:rPr>
                <w:rFonts w:hint="eastAsia" w:ascii="仿宋" w:hAnsi="仿宋" w:cs="仿宋"/>
                <w:color w:val="000000" w:themeColor="text1"/>
                <w:spacing w:val="-2"/>
                <w:sz w:val="24"/>
                <w:szCs w:val="24"/>
                <w:highlight w:val="none"/>
                <w14:textFill>
                  <w14:solidFill>
                    <w14:schemeClr w14:val="tx1"/>
                  </w14:solidFill>
                </w14:textFill>
              </w:rPr>
              <w:t>算方法</w:t>
            </w:r>
          </w:p>
        </w:tc>
        <w:tc>
          <w:tcPr>
            <w:tcW w:w="7608" w:type="dxa"/>
            <w:gridSpan w:val="3"/>
          </w:tcPr>
          <w:p w14:paraId="629D0FD1">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p>
          <w:p w14:paraId="290D16AD">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评标基准价的计算：</w:t>
            </w:r>
          </w:p>
          <w:p w14:paraId="0BD70C7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在开标现场，招标人将当场计算并宣布评标基准价。</w:t>
            </w:r>
          </w:p>
          <w:p w14:paraId="107C28E0">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（1）评标价的确定：</w:t>
            </w:r>
          </w:p>
          <w:p w14:paraId="7238F69C">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评标价＝投标函文字报价</w:t>
            </w:r>
          </w:p>
          <w:p w14:paraId="65BDAB83">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（2）评标价平均值的计算：</w:t>
            </w:r>
          </w:p>
          <w:p w14:paraId="264ABC40">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7F50467">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（3）评标基准价的确定：将评标价平均值直接作为评标基准价。</w:t>
            </w:r>
          </w:p>
        </w:tc>
      </w:tr>
      <w:tr w14:paraId="54EF6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1093" w:type="dxa"/>
            <w:vMerge w:val="continue"/>
            <w:vAlign w:val="center"/>
          </w:tcPr>
          <w:p w14:paraId="00806736">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1406" w:type="dxa"/>
            <w:vMerge w:val="continue"/>
            <w:vAlign w:val="center"/>
          </w:tcPr>
          <w:p w14:paraId="107DAC71">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7608" w:type="dxa"/>
            <w:gridSpan w:val="3"/>
          </w:tcPr>
          <w:p w14:paraId="69FD33FC">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在评标过程中，评标委员会应对招标人计算的评标基准价进行复</w:t>
            </w:r>
            <w:r>
              <w:rPr>
                <w:rFonts w:hint="eastAsia" w:ascii="仿宋" w:hAnsi="仿宋" w:cs="仿宋"/>
                <w:color w:val="000000" w:themeColor="text1"/>
                <w:spacing w:val="-3"/>
                <w:sz w:val="24"/>
                <w:szCs w:val="24"/>
                <w:highlight w:val="none"/>
                <w:lang w:eastAsia="zh-CN"/>
                <w14:textFill>
                  <w14:solidFill>
                    <w14:schemeClr w14:val="tx1"/>
                  </w14:solidFill>
                </w14:textFill>
              </w:rPr>
              <w:t>核，存在计算错误的应予以修正并在评标报告中作出说明。除此之外，</w:t>
            </w:r>
            <w:r>
              <w:rPr>
                <w:rFonts w:hint="eastAsia" w:ascii="仿宋" w:hAnsi="仿宋" w:cs="仿宋"/>
                <w:color w:val="000000" w:themeColor="text1"/>
                <w:sz w:val="24"/>
                <w:szCs w:val="24"/>
                <w:highlight w:val="none"/>
                <w:lang w:eastAsia="zh-CN"/>
                <w14:textFill>
                  <w14:solidFill>
                    <w14:schemeClr w14:val="tx1"/>
                  </w14:solidFill>
                </w14:textFill>
              </w:rPr>
              <w:t>评标基准价在整个评标期间保持不变，不随任何因素发生</w:t>
            </w:r>
            <w:r>
              <w:rPr>
                <w:rFonts w:hint="eastAsia" w:ascii="仿宋" w:hAnsi="仿宋" w:cs="仿宋"/>
                <w:color w:val="000000" w:themeColor="text1"/>
                <w:spacing w:val="-1"/>
                <w:sz w:val="24"/>
                <w:szCs w:val="24"/>
                <w:highlight w:val="none"/>
                <w:lang w:eastAsia="zh-CN"/>
                <w14:textFill>
                  <w14:solidFill>
                    <w14:schemeClr w14:val="tx1"/>
                  </w14:solidFill>
                </w14:textFill>
              </w:rPr>
              <w:t>变化</w:t>
            </w:r>
          </w:p>
        </w:tc>
      </w:tr>
      <w:tr w14:paraId="689E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093" w:type="dxa"/>
            <w:vAlign w:val="center"/>
          </w:tcPr>
          <w:p w14:paraId="41F3B9FE">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2.2.3</w:t>
            </w:r>
          </w:p>
        </w:tc>
        <w:tc>
          <w:tcPr>
            <w:tcW w:w="1406" w:type="dxa"/>
            <w:vAlign w:val="center"/>
          </w:tcPr>
          <w:p w14:paraId="766C3E10">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评标价的偏差</w:t>
            </w:r>
            <w:r>
              <w:rPr>
                <w:rFonts w:hint="eastAsia" w:ascii="仿宋" w:hAnsi="仿宋" w:cs="仿宋"/>
                <w:color w:val="000000" w:themeColor="text1"/>
                <w:spacing w:val="-2"/>
                <w:sz w:val="24"/>
                <w:szCs w:val="24"/>
                <w:highlight w:val="none"/>
                <w:lang w:eastAsia="zh-CN"/>
                <w14:textFill>
                  <w14:solidFill>
                    <w14:schemeClr w14:val="tx1"/>
                  </w14:solidFill>
                </w14:textFill>
              </w:rPr>
              <w:t>率计算公式</w:t>
            </w:r>
          </w:p>
        </w:tc>
        <w:tc>
          <w:tcPr>
            <w:tcW w:w="7608" w:type="dxa"/>
            <w:gridSpan w:val="3"/>
          </w:tcPr>
          <w:p w14:paraId="42134D5D">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偏差率=100%×（投标人评标价－评标基准价）/评标基准价</w:t>
            </w:r>
            <w:r>
              <w:rPr>
                <w:rFonts w:hint="eastAsia" w:ascii="仿宋" w:hAnsi="仿宋" w:cs="仿宋"/>
                <w:color w:val="000000" w:themeColor="text1"/>
                <w:sz w:val="24"/>
                <w:szCs w:val="24"/>
                <w:highlight w:val="none"/>
                <w:lang w:eastAsia="zh-CN"/>
                <w14:textFill>
                  <w14:solidFill>
                    <w14:schemeClr w14:val="tx1"/>
                  </w14:solidFill>
                </w14:textFill>
              </w:rPr>
              <w:t xml:space="preserve"> </w:t>
            </w:r>
          </w:p>
          <w:p w14:paraId="699A8045">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偏差率保留</w:t>
            </w:r>
            <w:r>
              <w:rPr>
                <w:rFonts w:hint="eastAsia" w:ascii="仿宋" w:hAnsi="仿宋" w:cs="仿宋"/>
                <w:color w:val="000000" w:themeColor="text1"/>
                <w:spacing w:val="-1"/>
                <w:sz w:val="24"/>
                <w:szCs w:val="24"/>
                <w:highlight w:val="none"/>
                <w:lang w:eastAsia="zh-CN"/>
                <w14:textFill>
                  <w14:solidFill>
                    <w14:schemeClr w14:val="tx1"/>
                  </w14:solidFill>
                </w14:textFill>
              </w:rPr>
              <w:t>2</w:t>
            </w:r>
            <w:r>
              <w:rPr>
                <w:rFonts w:hint="eastAsia" w:ascii="仿宋" w:hAnsi="仿宋" w:cs="仿宋"/>
                <w:color w:val="000000" w:themeColor="text1"/>
                <w:spacing w:val="-1"/>
                <w:sz w:val="24"/>
                <w:szCs w:val="24"/>
                <w:highlight w:val="none"/>
                <w14:textFill>
                  <w14:solidFill>
                    <w14:schemeClr w14:val="tx1"/>
                  </w14:solidFill>
                </w14:textFill>
              </w:rPr>
              <w:t>位小数</w:t>
            </w:r>
          </w:p>
        </w:tc>
      </w:tr>
    </w:tbl>
    <w:p w14:paraId="031C9174">
      <w:pPr>
        <w:spacing w:before="120" w:after="120"/>
        <w:ind w:firstLine="514"/>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br w:type="page"/>
      </w:r>
    </w:p>
    <w:p w14:paraId="3ED070F1">
      <w:pPr>
        <w:spacing w:before="120" w:after="120" w:line="212" w:lineRule="auto"/>
        <w:ind w:firstLine="0" w:firstLineChars="0"/>
        <w:jc w:val="right"/>
        <w:rPr>
          <w:rFonts w:ascii="仿宋" w:hAnsi="仿宋" w:cs="仿宋"/>
          <w:b/>
          <w:bCs/>
          <w:color w:val="000000" w:themeColor="text1"/>
          <w:spacing w:val="2"/>
          <w:sz w:val="24"/>
          <w:szCs w:val="24"/>
          <w:highlight w:val="none"/>
          <w14:textFill>
            <w14:solidFill>
              <w14:schemeClr w14:val="tx1"/>
            </w14:solidFill>
          </w14:textFill>
        </w:rPr>
      </w:pPr>
      <w:r>
        <w:rPr>
          <w:rFonts w:hint="eastAsia" w:ascii="仿宋" w:hAnsi="仿宋" w:cs="仿宋"/>
          <w:b/>
          <w:bCs/>
          <w:color w:val="000000" w:themeColor="text1"/>
          <w:spacing w:val="2"/>
          <w:sz w:val="24"/>
          <w:szCs w:val="24"/>
          <w:highlight w:val="none"/>
          <w14:textFill>
            <w14:solidFill>
              <w14:schemeClr w14:val="tx1"/>
            </w14:solidFill>
          </w14:textFill>
        </w:rPr>
        <w:t>续上表</w:t>
      </w:r>
    </w:p>
    <w:tbl>
      <w:tblPr>
        <w:tblStyle w:val="6"/>
        <w:tblW w:w="9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545"/>
        <w:gridCol w:w="877"/>
        <w:gridCol w:w="1434"/>
        <w:gridCol w:w="722"/>
        <w:gridCol w:w="5387"/>
      </w:tblGrid>
      <w:tr w14:paraId="37D28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88" w:type="dxa"/>
            <w:vMerge w:val="restart"/>
            <w:tcBorders>
              <w:bottom w:val="nil"/>
            </w:tcBorders>
            <w:vAlign w:val="center"/>
          </w:tcPr>
          <w:p w14:paraId="1A1EAC64">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2CB79888">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4"/>
                <w:sz w:val="24"/>
                <w:szCs w:val="24"/>
                <w:highlight w:val="none"/>
                <w14:textFill>
                  <w14:solidFill>
                    <w14:schemeClr w14:val="tx1"/>
                  </w14:solidFill>
                </w14:textFill>
              </w:rPr>
              <w:t>条款号</w:t>
            </w:r>
          </w:p>
        </w:tc>
        <w:tc>
          <w:tcPr>
            <w:tcW w:w="3578" w:type="dxa"/>
            <w:gridSpan w:val="4"/>
            <w:vAlign w:val="center"/>
          </w:tcPr>
          <w:p w14:paraId="21998383">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2"/>
                <w:sz w:val="24"/>
                <w:szCs w:val="24"/>
                <w:highlight w:val="none"/>
                <w14:textFill>
                  <w14:solidFill>
                    <w14:schemeClr w14:val="tx1"/>
                  </w14:solidFill>
                </w14:textFill>
              </w:rPr>
              <w:t>评分因素与权重分值</w:t>
            </w:r>
          </w:p>
        </w:tc>
        <w:tc>
          <w:tcPr>
            <w:tcW w:w="5387" w:type="dxa"/>
            <w:vMerge w:val="restart"/>
            <w:tcBorders>
              <w:bottom w:val="nil"/>
            </w:tcBorders>
            <w:vAlign w:val="center"/>
          </w:tcPr>
          <w:p w14:paraId="038F9B49">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1EB34FC2">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3"/>
                <w:sz w:val="24"/>
                <w:szCs w:val="24"/>
                <w:highlight w:val="none"/>
                <w14:textFill>
                  <w14:solidFill>
                    <w14:schemeClr w14:val="tx1"/>
                  </w14:solidFill>
                </w14:textFill>
              </w:rPr>
              <w:t>评分标准</w:t>
            </w:r>
          </w:p>
        </w:tc>
      </w:tr>
      <w:tr w14:paraId="2A98F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Merge w:val="continue"/>
            <w:tcBorders>
              <w:top w:val="nil"/>
            </w:tcBorders>
          </w:tcPr>
          <w:p w14:paraId="0F133346">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tc>
        <w:tc>
          <w:tcPr>
            <w:tcW w:w="545" w:type="dxa"/>
            <w:vAlign w:val="center"/>
          </w:tcPr>
          <w:p w14:paraId="74A471D2">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3"/>
                <w:sz w:val="24"/>
                <w:szCs w:val="24"/>
                <w:highlight w:val="none"/>
                <w14:textFill>
                  <w14:solidFill>
                    <w14:schemeClr w14:val="tx1"/>
                  </w14:solidFill>
                </w14:textFill>
              </w:rPr>
              <w:t>评分因素</w:t>
            </w:r>
          </w:p>
        </w:tc>
        <w:tc>
          <w:tcPr>
            <w:tcW w:w="877" w:type="dxa"/>
            <w:vAlign w:val="center"/>
          </w:tcPr>
          <w:p w14:paraId="19CAA27F">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3"/>
                <w:sz w:val="24"/>
                <w:szCs w:val="24"/>
                <w:highlight w:val="none"/>
                <w14:textFill>
                  <w14:solidFill>
                    <w14:schemeClr w14:val="tx1"/>
                  </w14:solidFill>
                </w14:textFill>
              </w:rPr>
              <w:t>评分因素权重分值</w:t>
            </w:r>
          </w:p>
        </w:tc>
        <w:tc>
          <w:tcPr>
            <w:tcW w:w="1434" w:type="dxa"/>
            <w:vAlign w:val="center"/>
          </w:tcPr>
          <w:p w14:paraId="4EC01066">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3"/>
                <w:sz w:val="24"/>
                <w:szCs w:val="24"/>
                <w:highlight w:val="none"/>
                <w14:textFill>
                  <w14:solidFill>
                    <w14:schemeClr w14:val="tx1"/>
                  </w14:solidFill>
                </w14:textFill>
              </w:rPr>
              <w:t>各评分因素细分项</w:t>
            </w:r>
          </w:p>
        </w:tc>
        <w:tc>
          <w:tcPr>
            <w:tcW w:w="722" w:type="dxa"/>
            <w:vAlign w:val="center"/>
          </w:tcPr>
          <w:p w14:paraId="1F008112">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b/>
                <w:bCs/>
                <w:color w:val="000000" w:themeColor="text1"/>
                <w:spacing w:val="-5"/>
                <w:sz w:val="24"/>
                <w:szCs w:val="24"/>
                <w:highlight w:val="none"/>
                <w14:textFill>
                  <w14:solidFill>
                    <w14:schemeClr w14:val="tx1"/>
                  </w14:solidFill>
                </w14:textFill>
              </w:rPr>
              <w:t>分值</w:t>
            </w:r>
          </w:p>
        </w:tc>
        <w:tc>
          <w:tcPr>
            <w:tcW w:w="5387" w:type="dxa"/>
            <w:vMerge w:val="continue"/>
            <w:tcBorders>
              <w:top w:val="nil"/>
            </w:tcBorders>
          </w:tcPr>
          <w:p w14:paraId="5BD9AD1D">
            <w:pPr>
              <w:spacing w:beforeLines="0" w:afterLines="0" w:line="240" w:lineRule="auto"/>
              <w:ind w:firstLine="0" w:firstLineChars="0"/>
              <w:rPr>
                <w:rFonts w:ascii="仿宋" w:hAnsi="仿宋" w:cs="仿宋"/>
                <w:color w:val="000000" w:themeColor="text1"/>
                <w:sz w:val="24"/>
                <w:szCs w:val="24"/>
                <w:highlight w:val="none"/>
                <w14:textFill>
                  <w14:solidFill>
                    <w14:schemeClr w14:val="tx1"/>
                  </w14:solidFill>
                </w14:textFill>
              </w:rPr>
            </w:pPr>
          </w:p>
        </w:tc>
      </w:tr>
      <w:tr w14:paraId="0F26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88" w:type="dxa"/>
            <w:vMerge w:val="restart"/>
            <w:tcBorders>
              <w:bottom w:val="nil"/>
            </w:tcBorders>
            <w:vAlign w:val="center"/>
          </w:tcPr>
          <w:p w14:paraId="005A3E55">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47D5DE3F">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2.2.4（1）</w:t>
            </w:r>
          </w:p>
        </w:tc>
        <w:tc>
          <w:tcPr>
            <w:tcW w:w="545" w:type="dxa"/>
            <w:vMerge w:val="restart"/>
            <w:tcBorders>
              <w:bottom w:val="nil"/>
            </w:tcBorders>
            <w:vAlign w:val="center"/>
          </w:tcPr>
          <w:p w14:paraId="2C87BA91">
            <w:pPr>
              <w:spacing w:beforeLines="0" w:afterLines="0" w:line="240" w:lineRule="auto"/>
              <w:ind w:firstLine="0" w:firstLineChars="0"/>
              <w:jc w:val="both"/>
              <w:rPr>
                <w:rFonts w:ascii="仿宋" w:hAnsi="仿宋" w:cs="仿宋"/>
                <w:color w:val="000000" w:themeColor="text1"/>
                <w:sz w:val="24"/>
                <w:szCs w:val="24"/>
                <w:highlight w:val="none"/>
                <w14:textFill>
                  <w14:solidFill>
                    <w14:schemeClr w14:val="tx1"/>
                  </w14:solidFill>
                </w14:textFill>
              </w:rPr>
            </w:pPr>
          </w:p>
          <w:p w14:paraId="62528937">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677EF0D2">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2"/>
                <w:sz w:val="24"/>
                <w:szCs w:val="24"/>
                <w:highlight w:val="none"/>
                <w14:textFill>
                  <w14:solidFill>
                    <w14:schemeClr w14:val="tx1"/>
                  </w14:solidFill>
                </w14:textFill>
              </w:rPr>
              <w:t>技术建议书</w:t>
            </w:r>
          </w:p>
        </w:tc>
        <w:tc>
          <w:tcPr>
            <w:tcW w:w="877" w:type="dxa"/>
            <w:vMerge w:val="restart"/>
            <w:tcBorders>
              <w:bottom w:val="nil"/>
            </w:tcBorders>
            <w:vAlign w:val="center"/>
          </w:tcPr>
          <w:p w14:paraId="53A93319">
            <w:pPr>
              <w:spacing w:beforeLines="0" w:afterLines="0" w:line="240" w:lineRule="auto"/>
              <w:ind w:firstLine="0" w:firstLineChars="0"/>
              <w:jc w:val="both"/>
              <w:rPr>
                <w:rFonts w:ascii="仿宋" w:hAnsi="仿宋" w:cs="仿宋"/>
                <w:color w:val="000000" w:themeColor="text1"/>
                <w:sz w:val="24"/>
                <w:szCs w:val="24"/>
                <w:highlight w:val="none"/>
                <w14:textFill>
                  <w14:solidFill>
                    <w14:schemeClr w14:val="tx1"/>
                  </w14:solidFill>
                </w14:textFill>
              </w:rPr>
            </w:pPr>
          </w:p>
          <w:p w14:paraId="2F09D362">
            <w:pPr>
              <w:tabs>
                <w:tab w:val="left" w:pos="663"/>
              </w:tabs>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45分</w:t>
            </w:r>
          </w:p>
        </w:tc>
        <w:tc>
          <w:tcPr>
            <w:tcW w:w="1434" w:type="dxa"/>
            <w:vAlign w:val="center"/>
          </w:tcPr>
          <w:p w14:paraId="539F2C1E">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对招标项目的理解和总体设计思</w:t>
            </w:r>
            <w:r>
              <w:rPr>
                <w:rFonts w:hint="eastAsia" w:ascii="仿宋" w:hAnsi="仿宋" w:cs="仿宋"/>
                <w:color w:val="000000" w:themeColor="text1"/>
                <w:sz w:val="24"/>
                <w:szCs w:val="24"/>
                <w:highlight w:val="none"/>
                <w:lang w:eastAsia="zh-CN"/>
                <w14:textFill>
                  <w14:solidFill>
                    <w14:schemeClr w14:val="tx1"/>
                  </w14:solidFill>
                </w14:textFill>
              </w:rPr>
              <w:t>路</w:t>
            </w:r>
          </w:p>
        </w:tc>
        <w:tc>
          <w:tcPr>
            <w:tcW w:w="722" w:type="dxa"/>
            <w:vAlign w:val="center"/>
          </w:tcPr>
          <w:p w14:paraId="3F107E45">
            <w:pPr>
              <w:tabs>
                <w:tab w:val="left" w:pos="529"/>
              </w:tabs>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20</w:t>
            </w:r>
            <w:r>
              <w:rPr>
                <w:rFonts w:hint="eastAsia" w:ascii="仿宋" w:hAnsi="仿宋" w:cs="仿宋"/>
                <w:color w:val="000000" w:themeColor="text1"/>
                <w:sz w:val="24"/>
                <w:szCs w:val="24"/>
                <w:highlight w:val="none"/>
                <w14:textFill>
                  <w14:solidFill>
                    <w14:schemeClr w14:val="tx1"/>
                  </w14:solidFill>
                </w14:textFill>
              </w:rPr>
              <w:t>分</w:t>
            </w:r>
          </w:p>
        </w:tc>
        <w:tc>
          <w:tcPr>
            <w:tcW w:w="5387" w:type="dxa"/>
          </w:tcPr>
          <w:p w14:paraId="578CBA6B">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（1）根据投标人对本次招标所包括的方案设计工作范围和任务描述进行评分，合理得4-5分，较合理得3.5-4分，一般得3-3.5分。</w:t>
            </w:r>
          </w:p>
          <w:p w14:paraId="4A0F0C23">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（2）根据方案设计总体思路和审查理念的科学性、先进性、合理性进行评分，合理13-15分，较合理得11-13分，一般得9-11分。</w:t>
            </w:r>
          </w:p>
        </w:tc>
      </w:tr>
      <w:tr w14:paraId="185AE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788" w:type="dxa"/>
            <w:vMerge w:val="continue"/>
            <w:tcBorders>
              <w:top w:val="nil"/>
              <w:bottom w:val="nil"/>
            </w:tcBorders>
            <w:vAlign w:val="center"/>
          </w:tcPr>
          <w:p w14:paraId="5699176F">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545" w:type="dxa"/>
            <w:vMerge w:val="continue"/>
            <w:tcBorders>
              <w:top w:val="nil"/>
              <w:bottom w:val="nil"/>
            </w:tcBorders>
            <w:vAlign w:val="center"/>
          </w:tcPr>
          <w:p w14:paraId="3B4124E2">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877" w:type="dxa"/>
            <w:vMerge w:val="continue"/>
            <w:tcBorders>
              <w:top w:val="nil"/>
              <w:bottom w:val="nil"/>
            </w:tcBorders>
            <w:vAlign w:val="center"/>
          </w:tcPr>
          <w:p w14:paraId="2CA1DB5B">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1434" w:type="dxa"/>
            <w:vAlign w:val="center"/>
          </w:tcPr>
          <w:p w14:paraId="5A5928E0">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招标项目方案设计及施工图设计的特点、关键技术问题的认识及其对策措施</w:t>
            </w:r>
          </w:p>
        </w:tc>
        <w:tc>
          <w:tcPr>
            <w:tcW w:w="722" w:type="dxa"/>
            <w:vAlign w:val="center"/>
          </w:tcPr>
          <w:p w14:paraId="44ADD731">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10398FD8">
            <w:pPr>
              <w:tabs>
                <w:tab w:val="left" w:pos="529"/>
              </w:tabs>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10分</w:t>
            </w:r>
          </w:p>
        </w:tc>
        <w:tc>
          <w:tcPr>
            <w:tcW w:w="5387" w:type="dxa"/>
          </w:tcPr>
          <w:p w14:paraId="4E99B4EB">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根据供应商对各项目工程技术特点、关键性技术问题的认识、养护环保技术应用及其对策措施的有效可行性进行评分，合理得8-10分，较合理得7-8分，一般得6-7分。</w:t>
            </w:r>
          </w:p>
        </w:tc>
      </w:tr>
      <w:tr w14:paraId="5100F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788" w:type="dxa"/>
            <w:vMerge w:val="continue"/>
            <w:tcBorders>
              <w:top w:val="nil"/>
              <w:bottom w:val="nil"/>
            </w:tcBorders>
            <w:vAlign w:val="center"/>
          </w:tcPr>
          <w:p w14:paraId="5B060468">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545" w:type="dxa"/>
            <w:vMerge w:val="continue"/>
            <w:tcBorders>
              <w:top w:val="nil"/>
              <w:bottom w:val="nil"/>
            </w:tcBorders>
            <w:vAlign w:val="center"/>
          </w:tcPr>
          <w:p w14:paraId="60D58806">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877" w:type="dxa"/>
            <w:vMerge w:val="continue"/>
            <w:tcBorders>
              <w:top w:val="nil"/>
              <w:bottom w:val="nil"/>
            </w:tcBorders>
            <w:vAlign w:val="center"/>
          </w:tcPr>
          <w:p w14:paraId="72DE50D0">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1434" w:type="dxa"/>
            <w:vAlign w:val="center"/>
          </w:tcPr>
          <w:p w14:paraId="70FAA131">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方案设计及施工图设计的质量保证措施、进度</w:t>
            </w:r>
            <w:r>
              <w:rPr>
                <w:rFonts w:hint="eastAsia" w:ascii="仿宋" w:hAnsi="仿宋" w:cs="仿宋"/>
                <w:color w:val="000000" w:themeColor="text1"/>
                <w:spacing w:val="-1"/>
                <w:sz w:val="24"/>
                <w:szCs w:val="24"/>
                <w:highlight w:val="none"/>
                <w:lang w:eastAsia="zh-CN"/>
                <w14:textFill>
                  <w14:solidFill>
                    <w14:schemeClr w14:val="tx1"/>
                  </w14:solidFill>
                </w14:textFill>
              </w:rPr>
              <w:t>保证措施、安全保证措施</w:t>
            </w:r>
          </w:p>
        </w:tc>
        <w:tc>
          <w:tcPr>
            <w:tcW w:w="722" w:type="dxa"/>
            <w:vAlign w:val="center"/>
          </w:tcPr>
          <w:p w14:paraId="6E2C8888">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713E1B5D">
            <w:pPr>
              <w:tabs>
                <w:tab w:val="left" w:pos="529"/>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10分</w:t>
            </w:r>
          </w:p>
        </w:tc>
        <w:tc>
          <w:tcPr>
            <w:tcW w:w="5387" w:type="dxa"/>
          </w:tcPr>
          <w:p w14:paraId="49FF9000">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根据设计工作计划安排的合理性、与本项目实际情况的符合性，质量保证措施、进度保证措施的可靠性、可实施性进行评分，合理得8-10分，较合理得7-8分，一般得6-7分。</w:t>
            </w:r>
          </w:p>
        </w:tc>
      </w:tr>
      <w:tr w14:paraId="31437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88" w:type="dxa"/>
            <w:vMerge w:val="continue"/>
            <w:tcBorders>
              <w:top w:val="nil"/>
              <w:bottom w:val="nil"/>
            </w:tcBorders>
            <w:vAlign w:val="center"/>
          </w:tcPr>
          <w:p w14:paraId="3A5F3B93">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545" w:type="dxa"/>
            <w:vMerge w:val="continue"/>
            <w:tcBorders>
              <w:top w:val="nil"/>
              <w:bottom w:val="nil"/>
            </w:tcBorders>
            <w:vAlign w:val="center"/>
          </w:tcPr>
          <w:p w14:paraId="7ED57C34">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877" w:type="dxa"/>
            <w:vMerge w:val="continue"/>
            <w:tcBorders>
              <w:top w:val="nil"/>
              <w:bottom w:val="nil"/>
            </w:tcBorders>
            <w:vAlign w:val="center"/>
          </w:tcPr>
          <w:p w14:paraId="57C2FCF3">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1434" w:type="dxa"/>
            <w:vAlign w:val="center"/>
          </w:tcPr>
          <w:p w14:paraId="4BED3DA2">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后续服务的安排及保证措施</w:t>
            </w:r>
          </w:p>
        </w:tc>
        <w:tc>
          <w:tcPr>
            <w:tcW w:w="722" w:type="dxa"/>
            <w:vAlign w:val="center"/>
          </w:tcPr>
          <w:p w14:paraId="3D838479">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5</w:t>
            </w:r>
            <w:r>
              <w:rPr>
                <w:rFonts w:hint="eastAsia" w:ascii="仿宋" w:hAnsi="仿宋" w:cs="仿宋"/>
                <w:color w:val="000000" w:themeColor="text1"/>
                <w:sz w:val="24"/>
                <w:szCs w:val="24"/>
                <w:highlight w:val="none"/>
                <w14:textFill>
                  <w14:solidFill>
                    <w14:schemeClr w14:val="tx1"/>
                  </w14:solidFill>
                </w14:textFill>
              </w:rPr>
              <w:t>分</w:t>
            </w:r>
          </w:p>
        </w:tc>
        <w:tc>
          <w:tcPr>
            <w:tcW w:w="5387" w:type="dxa"/>
          </w:tcPr>
          <w:p w14:paraId="3239B136">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根据项目的实施情况，后期服务保障措施很好得4～5分，较好得3～4 分,一般得3分</w:t>
            </w:r>
          </w:p>
        </w:tc>
      </w:tr>
      <w:tr w14:paraId="2A769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88" w:type="dxa"/>
            <w:vMerge w:val="restart"/>
            <w:tcBorders>
              <w:bottom w:val="nil"/>
            </w:tcBorders>
            <w:vAlign w:val="center"/>
          </w:tcPr>
          <w:p w14:paraId="30C470A6">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42CAF73B">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2.2.4（2）</w:t>
            </w:r>
          </w:p>
        </w:tc>
        <w:tc>
          <w:tcPr>
            <w:tcW w:w="545" w:type="dxa"/>
            <w:vMerge w:val="restart"/>
            <w:tcBorders>
              <w:bottom w:val="nil"/>
            </w:tcBorders>
            <w:vAlign w:val="center"/>
          </w:tcPr>
          <w:p w14:paraId="4F347901">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主</w:t>
            </w:r>
            <w:r>
              <w:rPr>
                <w:rFonts w:hint="eastAsia" w:ascii="仿宋" w:hAnsi="仿宋" w:cs="仿宋"/>
                <w:color w:val="000000" w:themeColor="text1"/>
                <w:spacing w:val="-2"/>
                <w:sz w:val="24"/>
                <w:szCs w:val="24"/>
                <w:highlight w:val="none"/>
                <w14:textFill>
                  <w14:solidFill>
                    <w14:schemeClr w14:val="tx1"/>
                  </w14:solidFill>
                </w14:textFill>
              </w:rPr>
              <w:t>要人员</w:t>
            </w:r>
          </w:p>
        </w:tc>
        <w:tc>
          <w:tcPr>
            <w:tcW w:w="877" w:type="dxa"/>
            <w:vMerge w:val="restart"/>
            <w:tcBorders>
              <w:bottom w:val="nil"/>
            </w:tcBorders>
            <w:vAlign w:val="center"/>
          </w:tcPr>
          <w:p w14:paraId="2696F90E">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2F646812">
            <w:pPr>
              <w:tabs>
                <w:tab w:val="left" w:pos="663"/>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25分</w:t>
            </w:r>
          </w:p>
        </w:tc>
        <w:tc>
          <w:tcPr>
            <w:tcW w:w="1434" w:type="dxa"/>
            <w:vAlign w:val="center"/>
          </w:tcPr>
          <w:p w14:paraId="7D3DE716">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项目负责人任职资格</w:t>
            </w:r>
          </w:p>
        </w:tc>
        <w:tc>
          <w:tcPr>
            <w:tcW w:w="722" w:type="dxa"/>
            <w:vAlign w:val="center"/>
          </w:tcPr>
          <w:p w14:paraId="08371D4D">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15分</w:t>
            </w:r>
          </w:p>
        </w:tc>
        <w:tc>
          <w:tcPr>
            <w:tcW w:w="5387" w:type="dxa"/>
          </w:tcPr>
          <w:p w14:paraId="23A0059F">
            <w:pPr>
              <w:spacing w:beforeLines="0" w:afterLines="0" w:line="240" w:lineRule="auto"/>
              <w:ind w:firstLine="0" w:firstLineChars="0"/>
              <w:rPr>
                <w:rFonts w:ascii="仿宋" w:hAnsi="仿宋" w:cs="仿宋"/>
                <w:bCs/>
                <w:color w:val="000000" w:themeColor="text1"/>
                <w:sz w:val="24"/>
                <w:szCs w:val="24"/>
                <w:highlight w:val="none"/>
                <w:lang w:eastAsia="zh-CN"/>
                <w14:textFill>
                  <w14:solidFill>
                    <w14:schemeClr w14:val="tx1"/>
                  </w14:solidFill>
                </w14:textFill>
              </w:rPr>
            </w:pPr>
            <w:r>
              <w:rPr>
                <w:rFonts w:hint="eastAsia" w:ascii="仿宋" w:hAnsi="仿宋" w:cs="仿宋"/>
                <w:bCs/>
                <w:color w:val="000000" w:themeColor="text1"/>
                <w:sz w:val="24"/>
                <w:szCs w:val="24"/>
                <w:highlight w:val="none"/>
                <w:lang w:eastAsia="zh-CN"/>
                <w14:textFill>
                  <w14:solidFill>
                    <w14:schemeClr w14:val="tx1"/>
                  </w14:solidFill>
                </w14:textFill>
              </w:rPr>
              <w:t>（1）满足资格审查条件最低要求得15分；</w:t>
            </w:r>
          </w:p>
          <w:p w14:paraId="00F89D4F">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p>
        </w:tc>
      </w:tr>
      <w:tr w14:paraId="7CAD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788" w:type="dxa"/>
            <w:vMerge w:val="continue"/>
            <w:tcBorders>
              <w:top w:val="nil"/>
            </w:tcBorders>
            <w:vAlign w:val="center"/>
          </w:tcPr>
          <w:p w14:paraId="25760828">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545" w:type="dxa"/>
            <w:vMerge w:val="continue"/>
            <w:tcBorders>
              <w:top w:val="nil"/>
            </w:tcBorders>
            <w:vAlign w:val="center"/>
          </w:tcPr>
          <w:p w14:paraId="7A3F3FAA">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877" w:type="dxa"/>
            <w:vMerge w:val="continue"/>
            <w:tcBorders>
              <w:top w:val="nil"/>
            </w:tcBorders>
            <w:vAlign w:val="center"/>
          </w:tcPr>
          <w:p w14:paraId="20FA4C21">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tc>
        <w:tc>
          <w:tcPr>
            <w:tcW w:w="1434" w:type="dxa"/>
            <w:vAlign w:val="center"/>
          </w:tcPr>
          <w:p w14:paraId="5DEC6F36">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项目负责人</w:t>
            </w:r>
            <w:r>
              <w:rPr>
                <w:rFonts w:hint="eastAsia" w:ascii="仿宋" w:hAnsi="仿宋" w:cs="仿宋"/>
                <w:color w:val="000000" w:themeColor="text1"/>
                <w:spacing w:val="-1"/>
                <w:sz w:val="24"/>
                <w:szCs w:val="24"/>
                <w:highlight w:val="none"/>
                <w:lang w:eastAsia="zh-CN"/>
                <w14:textFill>
                  <w14:solidFill>
                    <w14:schemeClr w14:val="tx1"/>
                  </w14:solidFill>
                </w14:textFill>
              </w:rPr>
              <w:t>业绩</w:t>
            </w:r>
          </w:p>
        </w:tc>
        <w:tc>
          <w:tcPr>
            <w:tcW w:w="722" w:type="dxa"/>
            <w:vAlign w:val="center"/>
          </w:tcPr>
          <w:p w14:paraId="2AC39FD8">
            <w:pPr>
              <w:tabs>
                <w:tab w:val="left" w:pos="529"/>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729F8B19">
            <w:pPr>
              <w:tabs>
                <w:tab w:val="left" w:pos="529"/>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10分</w:t>
            </w:r>
          </w:p>
        </w:tc>
        <w:tc>
          <w:tcPr>
            <w:tcW w:w="5387" w:type="dxa"/>
          </w:tcPr>
          <w:p w14:paraId="548DCD79">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bCs/>
                <w:color w:val="000000" w:themeColor="text1"/>
                <w:sz w:val="24"/>
                <w:szCs w:val="24"/>
                <w:highlight w:val="none"/>
                <w:lang w:eastAsia="zh-CN"/>
                <w14:textFill>
                  <w14:solidFill>
                    <w14:schemeClr w14:val="tx1"/>
                  </w14:solidFill>
                </w14:textFill>
              </w:rPr>
              <w:t>（2）在满足资格审查条件的基础上，每增加1项满足资格审查条件的设计项目负责人的个人业绩加5分，最高加10分。</w:t>
            </w:r>
          </w:p>
        </w:tc>
      </w:tr>
      <w:tr w14:paraId="7C71F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788" w:type="dxa"/>
            <w:vAlign w:val="center"/>
          </w:tcPr>
          <w:p w14:paraId="0516876B">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0E352CF9">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55C4C295">
            <w:pPr>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p>
          <w:p w14:paraId="5509A958">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14:textFill>
                  <w14:solidFill>
                    <w14:schemeClr w14:val="tx1"/>
                  </w14:solidFill>
                </w14:textFill>
              </w:rPr>
              <w:t>2.2.4（3）</w:t>
            </w:r>
          </w:p>
        </w:tc>
        <w:tc>
          <w:tcPr>
            <w:tcW w:w="545" w:type="dxa"/>
            <w:vAlign w:val="center"/>
          </w:tcPr>
          <w:p w14:paraId="20B3E52C">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75E21196">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6FB5545F">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01C47C04">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0DCF9B82">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投</w:t>
            </w:r>
            <w:r>
              <w:rPr>
                <w:rFonts w:hint="eastAsia" w:ascii="仿宋" w:hAnsi="仿宋" w:cs="仿宋"/>
                <w:color w:val="000000" w:themeColor="text1"/>
                <w:spacing w:val="-1"/>
                <w:sz w:val="24"/>
                <w:szCs w:val="24"/>
                <w:highlight w:val="none"/>
                <w14:textFill>
                  <w14:solidFill>
                    <w14:schemeClr w14:val="tx1"/>
                  </w14:solidFill>
                </w14:textFill>
              </w:rPr>
              <w:t>标价</w:t>
            </w:r>
          </w:p>
        </w:tc>
        <w:tc>
          <w:tcPr>
            <w:tcW w:w="877" w:type="dxa"/>
            <w:vAlign w:val="center"/>
          </w:tcPr>
          <w:p w14:paraId="61B2AE6B">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7EFDE84A">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2AC760CE">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646C9C3B">
            <w:pPr>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p>
          <w:p w14:paraId="3EA10AD3">
            <w:pPr>
              <w:tabs>
                <w:tab w:val="left" w:pos="663"/>
              </w:tabs>
              <w:spacing w:beforeLines="0" w:afterLines="0" w:line="240" w:lineRule="auto"/>
              <w:ind w:firstLine="0" w:firstLineChars="0"/>
              <w:jc w:val="center"/>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10</w:t>
            </w:r>
            <w:r>
              <w:rPr>
                <w:rFonts w:hint="eastAsia" w:ascii="仿宋" w:hAnsi="仿宋" w:cs="仿宋"/>
                <w:color w:val="000000" w:themeColor="text1"/>
                <w:sz w:val="24"/>
                <w:szCs w:val="24"/>
                <w:highlight w:val="none"/>
                <w14:textFill>
                  <w14:solidFill>
                    <w14:schemeClr w14:val="tx1"/>
                  </w14:solidFill>
                </w14:textFill>
              </w:rPr>
              <w:t>分</w:t>
            </w:r>
          </w:p>
        </w:tc>
        <w:tc>
          <w:tcPr>
            <w:tcW w:w="7543" w:type="dxa"/>
            <w:gridSpan w:val="3"/>
          </w:tcPr>
          <w:p w14:paraId="354C1A92">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评标价得分计算公式示例：</w:t>
            </w:r>
          </w:p>
          <w:p w14:paraId="08AD5DD9">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（1）如果投标人的评标价&gt;评标基准价，则评标价得分</w:t>
            </w:r>
            <w:r>
              <w:rPr>
                <w:rFonts w:hint="eastAsia" w:ascii="仿宋" w:hAnsi="仿宋" w:cs="仿宋"/>
                <w:color w:val="000000" w:themeColor="text1"/>
                <w:spacing w:val="9"/>
                <w:sz w:val="24"/>
                <w:szCs w:val="24"/>
                <w:highlight w:val="none"/>
                <w:lang w:eastAsia="zh-CN"/>
                <w14:textFill>
                  <w14:solidFill>
                    <w14:schemeClr w14:val="tx1"/>
                  </w14:solidFill>
                </w14:textFill>
              </w:rPr>
              <w:t>=F－偏差率×100×E</w:t>
            </w:r>
            <w:r>
              <w:rPr>
                <w:rFonts w:hint="eastAsia" w:ascii="仿宋" w:hAnsi="仿宋" w:cs="仿宋"/>
                <w:color w:val="000000" w:themeColor="text1"/>
                <w:spacing w:val="9"/>
                <w:position w:val="-3"/>
                <w:sz w:val="24"/>
                <w:szCs w:val="24"/>
                <w:highlight w:val="none"/>
                <w:lang w:eastAsia="zh-CN"/>
                <w14:textFill>
                  <w14:solidFill>
                    <w14:schemeClr w14:val="tx1"/>
                  </w14:solidFill>
                </w14:textFill>
              </w:rPr>
              <w:t>1</w:t>
            </w:r>
            <w:r>
              <w:rPr>
                <w:rFonts w:hint="eastAsia" w:ascii="仿宋" w:hAnsi="仿宋" w:cs="仿宋"/>
                <w:color w:val="000000" w:themeColor="text1"/>
                <w:spacing w:val="9"/>
                <w:sz w:val="24"/>
                <w:szCs w:val="24"/>
                <w:highlight w:val="none"/>
                <w:lang w:eastAsia="zh-CN"/>
                <w14:textFill>
                  <w14:solidFill>
                    <w14:schemeClr w14:val="tx1"/>
                  </w14:solidFill>
                </w14:textFill>
              </w:rPr>
              <w:t>；</w:t>
            </w:r>
          </w:p>
          <w:p w14:paraId="580C3F76">
            <w:pPr>
              <w:spacing w:beforeLines="0" w:afterLines="0" w:line="240" w:lineRule="auto"/>
              <w:ind w:firstLine="0" w:firstLineChars="0"/>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5"/>
                <w:sz w:val="24"/>
                <w:szCs w:val="24"/>
                <w:highlight w:val="none"/>
                <w:lang w:eastAsia="zh-CN"/>
                <w14:textFill>
                  <w14:solidFill>
                    <w14:schemeClr w14:val="tx1"/>
                  </w14:solidFill>
                </w14:textFill>
              </w:rPr>
              <w:t>（2）如果投标人的评标价≤评标基准价，则评标价得分</w:t>
            </w:r>
            <w:r>
              <w:rPr>
                <w:rFonts w:hint="eastAsia" w:ascii="仿宋" w:hAnsi="仿宋" w:cs="仿宋"/>
                <w:color w:val="000000" w:themeColor="text1"/>
                <w:spacing w:val="13"/>
                <w:sz w:val="24"/>
                <w:szCs w:val="24"/>
                <w:highlight w:val="none"/>
                <w:lang w:eastAsia="zh-CN"/>
                <w14:textFill>
                  <w14:solidFill>
                    <w14:schemeClr w14:val="tx1"/>
                  </w14:solidFill>
                </w14:textFill>
              </w:rPr>
              <w:t>=F＋偏差率×100×E</w:t>
            </w:r>
            <w:r>
              <w:rPr>
                <w:rFonts w:hint="eastAsia" w:ascii="仿宋" w:hAnsi="仿宋" w:cs="仿宋"/>
                <w:color w:val="000000" w:themeColor="text1"/>
                <w:spacing w:val="13"/>
                <w:position w:val="-3"/>
                <w:sz w:val="24"/>
                <w:szCs w:val="24"/>
                <w:highlight w:val="none"/>
                <w:lang w:eastAsia="zh-CN"/>
                <w14:textFill>
                  <w14:solidFill>
                    <w14:schemeClr w14:val="tx1"/>
                  </w14:solidFill>
                </w14:textFill>
              </w:rPr>
              <w:t>2</w:t>
            </w:r>
            <w:r>
              <w:rPr>
                <w:rFonts w:hint="eastAsia" w:ascii="仿宋" w:hAnsi="仿宋" w:cs="仿宋"/>
                <w:color w:val="000000" w:themeColor="text1"/>
                <w:spacing w:val="13"/>
                <w:sz w:val="24"/>
                <w:szCs w:val="24"/>
                <w:highlight w:val="none"/>
                <w:lang w:eastAsia="zh-CN"/>
                <w14:textFill>
                  <w14:solidFill>
                    <w14:schemeClr w14:val="tx1"/>
                  </w14:solidFill>
                </w14:textFill>
              </w:rPr>
              <w:t>。</w:t>
            </w:r>
          </w:p>
          <w:p w14:paraId="73CE6A1D">
            <w:pPr>
              <w:spacing w:beforeLines="0" w:afterLines="0" w:line="240" w:lineRule="auto"/>
              <w:ind w:firstLine="0" w:firstLineChars="0"/>
              <w:jc w:val="both"/>
              <w:rPr>
                <w:rFonts w:ascii="仿宋" w:hAnsi="仿宋" w:cs="仿宋"/>
                <w:color w:val="000000" w:themeColor="text1"/>
                <w:spacing w:val="-2"/>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其中：</w:t>
            </w:r>
            <w:r>
              <w:rPr>
                <w:rFonts w:hint="eastAsia" w:ascii="仿宋" w:hAnsi="仿宋" w:cs="仿宋"/>
                <w:color w:val="000000" w:themeColor="text1"/>
                <w:spacing w:val="-2"/>
                <w:sz w:val="24"/>
                <w:szCs w:val="24"/>
                <w:highlight w:val="none"/>
                <w:lang w:eastAsia="zh-CN"/>
                <w14:textFill>
                  <w14:solidFill>
                    <w14:schemeClr w14:val="tx1"/>
                  </w14:solidFill>
                </w14:textFill>
              </w:rPr>
              <w:t>F是投标报价所占的权重分值，F=10.00；</w:t>
            </w:r>
          </w:p>
          <w:p w14:paraId="11ADBD82">
            <w:pPr>
              <w:spacing w:beforeLines="0" w:afterLines="0" w:line="240" w:lineRule="auto"/>
              <w:ind w:firstLine="0" w:firstLineChars="0"/>
              <w:jc w:val="both"/>
              <w:rPr>
                <w:rFonts w:ascii="仿宋" w:hAnsi="仿宋" w:cs="仿宋"/>
                <w:color w:val="000000" w:themeColor="text1"/>
                <w:spacing w:val="-2"/>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 xml:space="preserve">E1：是评标价每高于评标基准价一个百分点的扣分值，E1=0.2； </w:t>
            </w:r>
          </w:p>
          <w:p w14:paraId="268A1A31">
            <w:pPr>
              <w:spacing w:beforeLines="0" w:afterLines="0" w:line="240" w:lineRule="auto"/>
              <w:ind w:firstLine="0" w:firstLineChars="0"/>
              <w:jc w:val="both"/>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2"/>
                <w:sz w:val="24"/>
                <w:szCs w:val="24"/>
                <w:highlight w:val="none"/>
                <w:lang w:eastAsia="zh-CN"/>
                <w14:textFill>
                  <w14:solidFill>
                    <w14:schemeClr w14:val="tx1"/>
                  </w14:solidFill>
                </w14:textFill>
              </w:rPr>
              <w:t>E2：是评标价每低于评标基准价一个百分点的扣分值，E2=0.1；</w:t>
            </w:r>
          </w:p>
        </w:tc>
      </w:tr>
      <w:tr w14:paraId="09EF0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788" w:type="dxa"/>
            <w:vMerge w:val="restart"/>
            <w:vAlign w:val="center"/>
          </w:tcPr>
          <w:p w14:paraId="1086D819">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2.2.4（4）</w:t>
            </w:r>
          </w:p>
        </w:tc>
        <w:tc>
          <w:tcPr>
            <w:tcW w:w="545" w:type="dxa"/>
            <w:vMerge w:val="restart"/>
            <w:vAlign w:val="center"/>
          </w:tcPr>
          <w:p w14:paraId="1C095238">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其他</w:t>
            </w:r>
          </w:p>
        </w:tc>
        <w:tc>
          <w:tcPr>
            <w:tcW w:w="877" w:type="dxa"/>
            <w:vAlign w:val="center"/>
          </w:tcPr>
          <w:p w14:paraId="416FED42">
            <w:pPr>
              <w:tabs>
                <w:tab w:val="center" w:pos="436"/>
              </w:tabs>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履约</w:t>
            </w:r>
          </w:p>
          <w:p w14:paraId="2E0BCC10">
            <w:pPr>
              <w:tabs>
                <w:tab w:val="center" w:pos="436"/>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pacing w:val="-1"/>
                <w:sz w:val="24"/>
                <w:szCs w:val="24"/>
                <w:highlight w:val="none"/>
                <w:lang w:eastAsia="zh-CN"/>
                <w14:textFill>
                  <w14:solidFill>
                    <w14:schemeClr w14:val="tx1"/>
                  </w14:solidFill>
                </w14:textFill>
              </w:rPr>
              <w:t>信誉</w:t>
            </w:r>
            <w:r>
              <w:rPr>
                <w:rFonts w:hint="eastAsia" w:ascii="仿宋" w:hAnsi="仿宋" w:cs="仿宋"/>
                <w:color w:val="000000" w:themeColor="text1"/>
                <w:sz w:val="24"/>
                <w:szCs w:val="24"/>
                <w:highlight w:val="none"/>
                <w:lang w:eastAsia="zh-CN"/>
                <w14:textFill>
                  <w14:solidFill>
                    <w14:schemeClr w14:val="tx1"/>
                  </w14:solidFill>
                </w14:textFill>
              </w:rPr>
              <w:t>5分</w:t>
            </w:r>
          </w:p>
        </w:tc>
        <w:tc>
          <w:tcPr>
            <w:tcW w:w="7543" w:type="dxa"/>
            <w:gridSpan w:val="3"/>
          </w:tcPr>
          <w:p w14:paraId="79593B55">
            <w:pPr>
              <w:spacing w:beforeLines="0" w:afterLines="0" w:line="240" w:lineRule="auto"/>
              <w:ind w:firstLine="0" w:firstLineChars="0"/>
              <w:jc w:val="both"/>
              <w:rPr>
                <w:rFonts w:ascii="仿宋" w:hAnsi="仿宋" w:cs="仿宋"/>
                <w:color w:val="000000" w:themeColor="text1"/>
                <w:spacing w:val="-3"/>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1）在陕西省最新年度普通干线公路建设市场设计从业单位信用评价结果或陕西省最新年度高速公路设计从业企业信用评价结果中或交通运输部最新年度公路设计从业单位信用评价评为“A”或“AA”得5分，评为“B”得4分，评为“C”的得3分。（本项如陕西省评价结果与交通运输部评价结果不同，按信用等级较低的为准）</w:t>
            </w:r>
          </w:p>
          <w:p w14:paraId="3419D12A">
            <w:pPr>
              <w:spacing w:beforeLines="0" w:afterLines="0" w:line="240" w:lineRule="auto"/>
              <w:ind w:firstLine="0" w:firstLineChars="0"/>
              <w:jc w:val="both"/>
              <w:rPr>
                <w:rFonts w:ascii="仿宋" w:hAnsi="仿宋" w:cs="仿宋"/>
                <w:color w:val="000000" w:themeColor="text1"/>
                <w:spacing w:val="-3"/>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注：尚无全国综合评价及陕西省评价的投标人，若无不良信用记录，可按</w:t>
            </w:r>
            <w:r>
              <w:rPr>
                <w:rFonts w:hint="eastAsia" w:ascii="仿宋" w:hAnsi="仿宋" w:cs="仿宋"/>
                <w:color w:val="000000" w:themeColor="text1"/>
                <w:spacing w:val="-3"/>
                <w:sz w:val="24"/>
                <w:szCs w:val="24"/>
                <w:highlight w:val="none"/>
                <w:lang w:val="en-US" w:eastAsia="zh-CN"/>
                <w14:textFill>
                  <w14:solidFill>
                    <w14:schemeClr w14:val="tx1"/>
                  </w14:solidFill>
                </w14:textFill>
              </w:rPr>
              <w:t>B</w:t>
            </w:r>
            <w:r>
              <w:rPr>
                <w:rFonts w:hint="eastAsia" w:ascii="仿宋" w:hAnsi="仿宋" w:cs="仿宋"/>
                <w:color w:val="000000" w:themeColor="text1"/>
                <w:spacing w:val="-3"/>
                <w:sz w:val="24"/>
                <w:szCs w:val="24"/>
                <w:highlight w:val="none"/>
                <w:lang w:eastAsia="zh-CN"/>
                <w14:textFill>
                  <w14:solidFill>
                    <w14:schemeClr w14:val="tx1"/>
                  </w14:solidFill>
                </w14:textFill>
              </w:rPr>
              <w:t>级对待。</w:t>
            </w:r>
          </w:p>
        </w:tc>
      </w:tr>
      <w:tr w14:paraId="74455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788" w:type="dxa"/>
            <w:vMerge w:val="continue"/>
            <w:vAlign w:val="center"/>
          </w:tcPr>
          <w:p w14:paraId="2E26FB25">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p>
        </w:tc>
        <w:tc>
          <w:tcPr>
            <w:tcW w:w="545" w:type="dxa"/>
            <w:vMerge w:val="continue"/>
            <w:vAlign w:val="center"/>
          </w:tcPr>
          <w:p w14:paraId="44C427A7">
            <w:pPr>
              <w:spacing w:beforeLines="0" w:afterLines="0" w:line="240" w:lineRule="auto"/>
              <w:ind w:firstLine="0" w:firstLineChars="0"/>
              <w:jc w:val="center"/>
              <w:rPr>
                <w:rFonts w:ascii="仿宋" w:hAnsi="仿宋" w:cs="仿宋"/>
                <w:color w:val="000000" w:themeColor="text1"/>
                <w:spacing w:val="-1"/>
                <w:sz w:val="24"/>
                <w:szCs w:val="24"/>
                <w:highlight w:val="none"/>
                <w:lang w:eastAsia="zh-CN"/>
                <w14:textFill>
                  <w14:solidFill>
                    <w14:schemeClr w14:val="tx1"/>
                  </w14:solidFill>
                </w14:textFill>
              </w:rPr>
            </w:pPr>
          </w:p>
        </w:tc>
        <w:tc>
          <w:tcPr>
            <w:tcW w:w="877" w:type="dxa"/>
            <w:vAlign w:val="center"/>
          </w:tcPr>
          <w:p w14:paraId="0FAF9CCE">
            <w:pPr>
              <w:tabs>
                <w:tab w:val="left" w:pos="663"/>
              </w:tabs>
              <w:spacing w:beforeLines="0" w:afterLines="0" w:line="240" w:lineRule="auto"/>
              <w:ind w:firstLine="0" w:firstLineChars="0"/>
              <w:jc w:val="center"/>
              <w:rPr>
                <w:rFonts w:ascii="仿宋" w:hAnsi="仿宋" w:cs="仿宋"/>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业绩   15分</w:t>
            </w:r>
          </w:p>
        </w:tc>
        <w:tc>
          <w:tcPr>
            <w:tcW w:w="7543" w:type="dxa"/>
            <w:gridSpan w:val="3"/>
          </w:tcPr>
          <w:p w14:paraId="31AF1D4C">
            <w:pPr>
              <w:spacing w:beforeLines="0" w:afterLines="0" w:line="240" w:lineRule="auto"/>
              <w:ind w:firstLine="0" w:firstLineChars="0"/>
              <w:jc w:val="both"/>
              <w:rPr>
                <w:rFonts w:ascii="仿宋" w:hAnsi="仿宋" w:cs="仿宋"/>
                <w:color w:val="000000" w:themeColor="text1"/>
                <w:spacing w:val="-3"/>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（1）满足资格审查条件最低要求得9分；</w:t>
            </w:r>
          </w:p>
          <w:p w14:paraId="695403F9">
            <w:pPr>
              <w:spacing w:beforeLines="0" w:afterLines="0" w:line="240" w:lineRule="auto"/>
              <w:ind w:firstLine="0" w:firstLineChars="0"/>
              <w:jc w:val="both"/>
              <w:rPr>
                <w:rFonts w:ascii="仿宋" w:hAnsi="仿宋" w:cs="仿宋"/>
                <w:color w:val="000000" w:themeColor="text1"/>
                <w:spacing w:val="-3"/>
                <w:sz w:val="24"/>
                <w:szCs w:val="24"/>
                <w:highlight w:val="none"/>
                <w:lang w:eastAsia="zh-CN"/>
                <w14:textFill>
                  <w14:solidFill>
                    <w14:schemeClr w14:val="tx1"/>
                  </w14:solidFill>
                </w14:textFill>
              </w:rPr>
            </w:pPr>
            <w:r>
              <w:rPr>
                <w:rFonts w:hint="eastAsia" w:ascii="仿宋" w:hAnsi="仿宋" w:cs="仿宋"/>
                <w:color w:val="000000" w:themeColor="text1"/>
                <w:spacing w:val="-3"/>
                <w:sz w:val="24"/>
                <w:szCs w:val="24"/>
                <w:highlight w:val="none"/>
                <w:lang w:eastAsia="zh-CN"/>
                <w14:textFill>
                  <w14:solidFill>
                    <w14:schemeClr w14:val="tx1"/>
                  </w14:solidFill>
                </w14:textFill>
              </w:rPr>
              <w:t>（2）在满足资格审查条件的基础上，每增加1项满足资格审查条件的业绩加3分，最多加6分。</w:t>
            </w:r>
          </w:p>
        </w:tc>
      </w:tr>
    </w:tbl>
    <w:p w14:paraId="395B7A6D">
      <w:pPr>
        <w:rPr>
          <w:rFonts w:hint="eastAsia" w:ascii="宋体" w:hAnsi="宋体" w:eastAsia="宋体" w:cs="宋体"/>
          <w:sz w:val="24"/>
          <w:szCs w:val="24"/>
        </w:rPr>
      </w:pP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062C3"/>
    <w:rsid w:val="65F0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afterLines="0"/>
      <w:ind w:firstLine="0" w:firstLineChars="0"/>
      <w:jc w:val="center"/>
      <w:outlineLvl w:val="0"/>
    </w:pPr>
    <w:rPr>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5"/>
      <w:szCs w:val="25"/>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2024-11-19T09:41:00Z</dcterms:created>
  <dc:creator>十三</dc:creator>
  <cp:lastModifiedBy>十三</cp:lastModifiedBy>
  <dcterms:modified xsi:type="dcterms:W3CDTF">2024-11-19T09:44:29Z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47C26BB428664FAC834A5E3485EC6A18_11</vt:lpwstr>
  </property>
</Properties>
</file>