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hd w:val="clear" w:color="auto" w:fill="auto"/>
        <w:spacing w:beforeLines="50" w:before="156" w:line="400" w:lineRule="exact"/>
        <w:jc w:val="center"/>
        <w:outlineLvl w:val="0"/>
        <w:rPr>
          <w:rFonts w:ascii="Times New Roman" w:eastAsia="黑体" w:cs="Times New Roman" w:hAnsi="Times New Roman"/>
          <w:sz w:val="28"/>
          <w:szCs w:val="28"/>
        </w:rPr>
      </w:pPr>
      <w:bookmarkStart w:id="0" w:name="_Toc470760973"/>
      <w:bookmarkStart w:id="1" w:name="_Toc501257033"/>
      <w:bookmarkStart w:id="2" w:name="_Toc18518"/>
      <w:bookmarkStart w:id="3" w:name="_GoBack"/>
      <w:r>
        <w:rPr>
          <w:rFonts w:ascii="Times New Roman" w:eastAsia="黑体" w:cs="Times New Roman" w:hAnsi="Times New Roman" w:hint="eastAsia"/>
          <w:sz w:val="28"/>
          <w:szCs w:val="28"/>
          <w:lang w:eastAsia="zh-CN"/>
        </w:rPr>
        <w:t>安康市2024年养护大中修及预防性养护工程、路面改造工程竣（交）工验收质量检测招标文件关键性内容</w:t>
      </w:r>
    </w:p>
    <w:p>
      <w:pPr>
        <w:spacing w:line="360" w:lineRule="auto"/>
        <w:rPr>
          <w:rFonts w:ascii="黑体" w:eastAsia="黑体" w:cs="黑体" w:hAnsi="黑体" w:hint="eastAsia"/>
          <w:b w:val="0"/>
          <w:bCs w:val="0"/>
          <w:sz w:val="24"/>
          <w:szCs w:val="24"/>
        </w:rPr>
      </w:pPr>
      <w:bookmarkEnd w:id="0"/>
      <w:bookmarkEnd w:id="1"/>
      <w:bookmarkEnd w:id="2"/>
      <w:bookmarkEnd w:id="3"/>
      <w:r>
        <w:rPr>
          <w:rFonts w:ascii="黑体" w:eastAsia="黑体" w:cs="黑体" w:hAnsi="黑体" w:hint="eastAsia"/>
          <w:b w:val="0"/>
          <w:bCs w:val="0"/>
          <w:sz w:val="24"/>
          <w:szCs w:val="24"/>
          <w:lang w:val="en-US" w:eastAsia="zh-CN"/>
        </w:rPr>
        <w:t xml:space="preserve">1. </w:t>
      </w:r>
      <w:r>
        <w:rPr>
          <w:rFonts w:ascii="黑体" w:eastAsia="黑体" w:cs="黑体" w:hAnsi="黑体" w:hint="eastAsia"/>
          <w:b w:val="0"/>
          <w:bCs w:val="0"/>
          <w:sz w:val="24"/>
          <w:szCs w:val="24"/>
        </w:rPr>
        <w:t>招标条件</w:t>
      </w:r>
    </w:p>
    <w:p>
      <w:pPr>
        <w:shd w:val="clear" w:color="auto" w:fill="auto"/>
        <w:spacing w:line="360" w:lineRule="auto"/>
        <w:ind w:firstLineChars="200" w:firstLine="480"/>
        <w:rPr>
          <w:rFonts w:ascii="Times New Roman" w:hAnsi="Times New Roman"/>
          <w:sz w:val="24"/>
        </w:rPr>
      </w:pPr>
      <w:r>
        <w:rPr>
          <w:rFonts w:ascii="Times New Roman" w:hAnsi="Times New Roman" w:hint="eastAsia"/>
          <w:sz w:val="24"/>
        </w:rPr>
        <w:t>安康市2024年养护大中修及预防性养护工程、路面改造工程</w:t>
      </w:r>
      <w:r>
        <w:rPr>
          <w:rFonts w:ascii="Times New Roman" w:hAnsi="Times New Roman" w:hint="eastAsia"/>
          <w:sz w:val="24"/>
          <w:lang w:eastAsia="zh-CN"/>
        </w:rPr>
        <w:t>（</w:t>
      </w:r>
      <w:r>
        <w:rPr>
          <w:rFonts w:ascii="Times New Roman" w:hAnsi="Times New Roman"/>
          <w:sz w:val="24"/>
        </w:rPr>
        <w:t>以下简称“本项目”）施工图设计及预算已由</w:t>
      </w:r>
      <w:r>
        <w:rPr>
          <w:rFonts w:ascii="Times New Roman" w:hAnsi="Times New Roman" w:hint="eastAsia"/>
          <w:sz w:val="24"/>
          <w:u w:val="single"/>
          <w:lang w:val="en-US" w:eastAsia="zh-CN"/>
        </w:rPr>
        <w:t>安康市交通运输局、陕西省公路局</w:t>
      </w:r>
      <w:r>
        <w:rPr>
          <w:rFonts w:ascii="Times New Roman" w:hAnsi="Times New Roman"/>
          <w:sz w:val="24"/>
        </w:rPr>
        <w:t>以</w:t>
      </w:r>
      <w:r>
        <w:rPr>
          <w:rFonts w:ascii="Times New Roman" w:hAnsi="Times New Roman" w:hint="eastAsia"/>
          <w:sz w:val="24"/>
          <w:u w:val="single"/>
        </w:rPr>
        <w:t>《关于安康市2024年普通干线公路大中修及预防性养护工程（第一批）施工图设计及预算的批复》（安交函〔202</w:t>
      </w:r>
      <w:r>
        <w:rPr>
          <w:rFonts w:ascii="Times New Roman" w:hAnsi="Times New Roman" w:hint="eastAsia"/>
          <w:sz w:val="24"/>
          <w:u w:val="single"/>
          <w:lang w:val="en-US" w:eastAsia="zh-CN"/>
        </w:rPr>
        <w:t>4</w:t>
      </w:r>
      <w:r>
        <w:rPr>
          <w:rFonts w:ascii="Times New Roman" w:hAnsi="Times New Roman" w:hint="eastAsia"/>
          <w:sz w:val="24"/>
          <w:u w:val="single"/>
        </w:rPr>
        <w:t>〕</w:t>
      </w:r>
      <w:r>
        <w:rPr>
          <w:rFonts w:ascii="Times New Roman" w:hAnsi="Times New Roman" w:hint="eastAsia"/>
          <w:sz w:val="24"/>
          <w:u w:val="single"/>
          <w:lang w:val="en-US" w:eastAsia="zh-CN"/>
        </w:rPr>
        <w:t>157</w:t>
      </w:r>
      <w:r>
        <w:rPr>
          <w:rFonts w:ascii="Times New Roman" w:hAnsi="Times New Roman" w:hint="eastAsia"/>
          <w:sz w:val="24"/>
          <w:u w:val="single"/>
        </w:rPr>
        <w:t>号</w:t>
      </w:r>
      <w:r>
        <w:rPr>
          <w:rFonts w:ascii="Times New Roman" w:hAnsi="Times New Roman" w:hint="eastAsia"/>
          <w:sz w:val="24"/>
          <w:u w:val="single"/>
          <w:lang w:eastAsia="zh-CN"/>
        </w:rPr>
        <w:t>）、《关于安康市2024年普通干线公路大中修及预防性养护工程（第二批）施工图设计及预算的批复》（安交函〔2024〕</w:t>
      </w:r>
      <w:r>
        <w:rPr>
          <w:rFonts w:ascii="Times New Roman" w:hAnsi="Times New Roman" w:hint="eastAsia"/>
          <w:sz w:val="24"/>
          <w:u w:val="single"/>
          <w:lang w:val="en-US" w:eastAsia="zh-CN"/>
        </w:rPr>
        <w:t>287</w:t>
      </w:r>
      <w:r>
        <w:rPr>
          <w:rFonts w:ascii="Times New Roman" w:hAnsi="Times New Roman" w:hint="eastAsia"/>
          <w:sz w:val="24"/>
          <w:u w:val="single"/>
          <w:lang w:eastAsia="zh-CN"/>
        </w:rPr>
        <w:t>号）、</w:t>
      </w:r>
      <w:r>
        <w:rPr>
          <w:rFonts w:ascii="Times New Roman" w:hAnsi="Times New Roman" w:hint="eastAsia"/>
          <w:sz w:val="24"/>
          <w:u w:val="single"/>
          <w:lang w:val="en-US" w:eastAsia="zh-CN"/>
        </w:rPr>
        <w:t>《关于安康市2024年普通干线公路大中修及预防性养护工程（第三批）施工图设计及预算的批复》</w:t>
      </w:r>
      <w:r>
        <w:rPr>
          <w:rFonts w:ascii="Times New Roman" w:hAnsi="Times New Roman" w:hint="eastAsia"/>
          <w:sz w:val="24"/>
          <w:u w:val="single"/>
          <w:lang w:eastAsia="zh-CN"/>
        </w:rPr>
        <w:t>（安交函〔2024〕</w:t>
      </w:r>
      <w:r>
        <w:rPr>
          <w:rFonts w:ascii="Times New Roman" w:hAnsi="Times New Roman" w:hint="eastAsia"/>
          <w:sz w:val="24"/>
          <w:u w:val="single"/>
          <w:lang w:val="en-US" w:eastAsia="zh-CN"/>
        </w:rPr>
        <w:t>515</w:t>
      </w:r>
      <w:r>
        <w:rPr>
          <w:rFonts w:ascii="Times New Roman" w:hAnsi="Times New Roman" w:hint="eastAsia"/>
          <w:sz w:val="24"/>
          <w:u w:val="single"/>
          <w:lang w:eastAsia="zh-CN"/>
        </w:rPr>
        <w:t>号）、</w:t>
      </w:r>
      <w:r>
        <w:rPr>
          <w:rFonts w:ascii="Times New Roman" w:hAnsi="Times New Roman" w:hint="eastAsia"/>
          <w:sz w:val="24"/>
          <w:u w:val="single"/>
          <w:lang w:val="en-US" w:eastAsia="zh-CN"/>
        </w:rPr>
        <w:t>《关于G316汉滨金坑至汉阴桃园公路路面改造工程一阶段施工图设计及预算的批复》</w:t>
      </w:r>
      <w:r>
        <w:rPr>
          <w:rFonts w:ascii="Times New Roman" w:hAnsi="Times New Roman" w:hint="eastAsia"/>
          <w:sz w:val="24"/>
          <w:u w:val="single"/>
          <w:lang w:eastAsia="zh-CN"/>
        </w:rPr>
        <w:t>（安交函〔2024〕</w:t>
      </w:r>
      <w:r>
        <w:rPr>
          <w:rFonts w:ascii="Times New Roman" w:hAnsi="Times New Roman" w:hint="eastAsia"/>
          <w:sz w:val="24"/>
          <w:u w:val="single"/>
          <w:lang w:val="en-US" w:eastAsia="zh-CN"/>
        </w:rPr>
        <w:t>383</w:t>
      </w:r>
      <w:r>
        <w:rPr>
          <w:rFonts w:ascii="Times New Roman" w:hAnsi="Times New Roman" w:hint="eastAsia"/>
          <w:sz w:val="24"/>
          <w:u w:val="single"/>
          <w:lang w:eastAsia="zh-CN"/>
        </w:rPr>
        <w:t>号）、</w:t>
      </w:r>
      <w:r>
        <w:rPr>
          <w:rFonts w:ascii="Times New Roman" w:hAnsi="Times New Roman" w:hint="eastAsia"/>
          <w:sz w:val="24"/>
          <w:u w:val="single"/>
          <w:lang w:val="en-US" w:eastAsia="zh-CN"/>
        </w:rPr>
        <w:t>《</w:t>
      </w:r>
      <w:r>
        <w:rPr>
          <w:rFonts w:ascii="Times New Roman" w:hAnsi="Times New Roman" w:hint="eastAsia"/>
          <w:sz w:val="24"/>
          <w:u w:val="single"/>
          <w:lang w:eastAsia="zh-CN"/>
        </w:rPr>
        <w:t>陕西省公路局关于2024年第四批普通</w:t>
      </w:r>
      <w:r>
        <w:rPr>
          <w:rFonts w:ascii="Times New Roman" w:hAnsi="Times New Roman"/>
          <w:sz w:val="24"/>
          <w:u w:val="single"/>
          <w:lang w:eastAsia="zh-CN"/>
        </w:rPr>
        <w:t>干</w:t>
      </w:r>
      <w:r>
        <w:rPr>
          <w:rFonts w:ascii="Times New Roman" w:hAnsi="Times New Roman" w:hint="eastAsia"/>
          <w:sz w:val="24"/>
          <w:u w:val="single"/>
          <w:lang w:eastAsia="zh-CN"/>
        </w:rPr>
        <w:t>线公路大中修及预防性养护工程方案设计技术</w:t>
      </w:r>
      <w:r>
        <w:rPr>
          <w:rFonts w:ascii="Times New Roman" w:hAnsi="Times New Roman"/>
          <w:sz w:val="24"/>
          <w:u w:val="single"/>
          <w:lang w:eastAsia="zh-CN"/>
        </w:rPr>
        <w:t>审查</w:t>
      </w:r>
      <w:r>
        <w:rPr>
          <w:rFonts w:ascii="Times New Roman" w:hAnsi="Times New Roman" w:hint="eastAsia"/>
          <w:sz w:val="24"/>
          <w:u w:val="single"/>
          <w:lang w:eastAsia="zh-CN"/>
        </w:rPr>
        <w:t>意见的报告</w:t>
      </w:r>
      <w:r>
        <w:rPr>
          <w:rFonts w:ascii="Times New Roman" w:hAnsi="Times New Roman" w:hint="eastAsia"/>
          <w:sz w:val="24"/>
          <w:u w:val="single"/>
          <w:lang w:val="en-US" w:eastAsia="zh-CN"/>
        </w:rPr>
        <w:t>》（陕公路字〔2024</w:t>
      </w:r>
      <w:r>
        <w:rPr>
          <w:rFonts w:ascii="Times New Roman" w:hAnsi="Times New Roman" w:hint="eastAsia"/>
          <w:sz w:val="24"/>
          <w:u w:val="single"/>
          <w:lang w:eastAsia="zh-CN"/>
        </w:rPr>
        <w:t>〕</w:t>
      </w:r>
      <w:r>
        <w:rPr>
          <w:rFonts w:ascii="Times New Roman" w:hAnsi="Times New Roman" w:hint="eastAsia"/>
          <w:sz w:val="24"/>
          <w:u w:val="single"/>
          <w:lang w:val="en-US" w:eastAsia="zh-CN"/>
        </w:rPr>
        <w:t>199号）</w:t>
      </w:r>
      <w:r>
        <w:rPr>
          <w:rFonts w:ascii="Times New Roman" w:hAnsi="Times New Roman"/>
          <w:sz w:val="24"/>
        </w:rPr>
        <w:t>文件批准</w:t>
      </w:r>
      <w:r>
        <w:rPr>
          <w:rFonts w:ascii="Times New Roman" w:hAnsi="Times New Roman" w:hint="eastAsia"/>
          <w:sz w:val="24"/>
          <w:lang w:eastAsia="zh-CN"/>
        </w:rPr>
        <w:t>，</w:t>
      </w:r>
      <w:r>
        <w:rPr>
          <w:rFonts w:ascii="Times New Roman" w:hAnsi="Times New Roman"/>
          <w:sz w:val="24"/>
        </w:rPr>
        <w:t>招标人为</w:t>
      </w:r>
      <w:r>
        <w:rPr>
          <w:rFonts w:ascii="Times New Roman" w:hAnsi="Times New Roman" w:hint="eastAsia"/>
          <w:sz w:val="24"/>
          <w:lang w:eastAsia="zh-CN"/>
        </w:rPr>
        <w:t>安康市公路局</w:t>
      </w:r>
      <w:r>
        <w:rPr>
          <w:rFonts w:ascii="Times New Roman" w:hAnsi="Times New Roman"/>
          <w:sz w:val="24"/>
        </w:rPr>
        <w:t>，建设资金来自</w:t>
      </w:r>
      <w:r>
        <w:rPr>
          <w:rFonts w:ascii="Times New Roman" w:hAnsi="Times New Roman" w:hint="eastAsia"/>
          <w:sz w:val="24"/>
          <w:lang w:val="en-US" w:eastAsia="zh-CN"/>
        </w:rPr>
        <w:t>财政</w:t>
      </w:r>
      <w:r>
        <w:rPr>
          <w:rFonts w:ascii="Times New Roman" w:hAnsi="Times New Roman"/>
          <w:sz w:val="24"/>
        </w:rPr>
        <w:t>，招标代理为</w:t>
      </w:r>
      <w:r>
        <w:rPr>
          <w:rFonts w:ascii="Times New Roman" w:hAnsi="Times New Roman" w:hint="eastAsia"/>
          <w:sz w:val="24"/>
          <w:lang w:eastAsia="zh-CN"/>
        </w:rPr>
        <w:t>华杰工程咨询有限公司</w:t>
      </w:r>
      <w:r>
        <w:rPr>
          <w:rFonts w:ascii="Times New Roman" w:hAnsi="Times New Roman"/>
          <w:sz w:val="24"/>
        </w:rPr>
        <w:t>，该项目现已具备招标条件，现对该项目的</w:t>
      </w:r>
      <w:r>
        <w:rPr>
          <w:rFonts w:ascii="Times New Roman" w:hAnsi="Times New Roman" w:hint="eastAsia"/>
          <w:sz w:val="24"/>
        </w:rPr>
        <w:t>竣（交）工质量检测</w:t>
      </w:r>
      <w:r>
        <w:rPr>
          <w:rFonts w:ascii="Times New Roman" w:hAnsi="Times New Roman"/>
          <w:sz w:val="24"/>
        </w:rPr>
        <w:t>进行公开招标。</w:t>
      </w:r>
    </w:p>
    <w:p>
      <w:pPr>
        <w:spacing w:line="360" w:lineRule="auto"/>
        <w:rPr>
          <w:rFonts w:ascii="黑体" w:eastAsia="黑体" w:cs="黑体" w:hAnsi="黑体" w:hint="eastAsia"/>
          <w:b w:val="0"/>
          <w:bCs w:val="0"/>
          <w:sz w:val="24"/>
          <w:szCs w:val="24"/>
          <w:lang w:val="en-US" w:eastAsia="zh-CN"/>
        </w:rPr>
      </w:pPr>
      <w:bookmarkStart w:id="4" w:name="_Toc29258"/>
      <w:bookmarkStart w:id="5" w:name="_Toc13865"/>
      <w:bookmarkStart w:id="6" w:name="_Toc470760974"/>
      <w:bookmarkStart w:id="7" w:name="_Toc501257034"/>
      <w:bookmarkStart w:id="8" w:name="_Toc20347"/>
      <w:bookmarkStart w:id="9" w:name="_Toc4375"/>
      <w:r>
        <w:rPr>
          <w:rFonts w:ascii="黑体" w:eastAsia="黑体" w:cs="黑体" w:hAnsi="黑体" w:hint="eastAsia"/>
          <w:b w:val="0"/>
          <w:bCs w:val="0"/>
          <w:sz w:val="24"/>
          <w:szCs w:val="24"/>
          <w:lang w:val="en-US" w:eastAsia="zh-CN"/>
        </w:rPr>
        <w:t>2. 项目概况与招标范围</w:t>
      </w:r>
      <w:bookmarkEnd w:id="4"/>
      <w:bookmarkEnd w:id="5"/>
      <w:bookmarkEnd w:id="6"/>
      <w:bookmarkEnd w:id="7"/>
      <w:bookmarkEnd w:id="8"/>
      <w:bookmarkEnd w:id="9"/>
    </w:p>
    <w:p>
      <w:pPr>
        <w:pStyle w:val="23"/>
        <w:shd w:val="clear" w:color="auto" w:fill="auto"/>
        <w:spacing w:line="360" w:lineRule="auto"/>
        <w:jc w:val="left"/>
        <w:rPr>
          <w:rFonts w:ascii="Times New Roman" w:eastAsia="宋体" w:hAnsi="Times New Roman" w:hint="eastAsia"/>
          <w:sz w:val="24"/>
          <w:lang w:eastAsia="zh-CN"/>
        </w:rPr>
      </w:pPr>
      <w:r>
        <w:rPr>
          <w:rFonts w:ascii="Times New Roman" w:hAnsi="Times New Roman"/>
          <w:sz w:val="24"/>
        </w:rPr>
        <w:t>2.1 建设地点：陕西省</w:t>
      </w:r>
      <w:r>
        <w:rPr>
          <w:rFonts w:ascii="Times New Roman" w:hAnsi="Times New Roman" w:hint="eastAsia"/>
          <w:sz w:val="24"/>
          <w:lang w:val="en-US" w:eastAsia="zh-CN"/>
        </w:rPr>
        <w:t>安康市</w:t>
      </w:r>
    </w:p>
    <w:p>
      <w:pPr>
        <w:shd w:val="clear" w:color="auto" w:fill="auto"/>
        <w:spacing w:line="360" w:lineRule="auto"/>
        <w:ind w:firstLineChars="200" w:firstLine="480"/>
        <w:rPr>
          <w:rFonts w:ascii="Times New Roman" w:hAnsi="Times New Roman"/>
          <w:sz w:val="24"/>
        </w:rPr>
      </w:pPr>
      <w:r>
        <w:rPr>
          <w:rFonts w:ascii="Times New Roman" w:hAnsi="Times New Roman"/>
          <w:sz w:val="24"/>
        </w:rPr>
        <w:t>2.2 工程规模：</w:t>
      </w:r>
    </w:p>
    <w:p>
      <w:pPr>
        <w:keepNext w:val="0"/>
        <w:keepLines w:val="0"/>
        <w:pageBreakBefore w:val="0"/>
        <w:widowControl w:val="0"/>
        <w:shd w:val="clear" w:color="auto" w:fill="auto"/>
        <w:kinsoku/>
        <w:wordWrap w:val="0"/>
        <w:overflowPunct/>
        <w:topLinePunct w:val="0"/>
        <w:autoSpaceDE/>
        <w:autoSpaceDN/>
        <w:bidi w:val="0"/>
        <w:adjustRightInd w:val="0"/>
        <w:snapToGrid/>
        <w:spacing w:line="360" w:lineRule="auto"/>
        <w:ind w:firstLineChars="200" w:firstLine="480"/>
        <w:textAlignment w:val="baseline"/>
        <w:rPr>
          <w:rFonts w:ascii="Times New Roman" w:eastAsia="宋体" w:hAnsi="Times New Roman" w:hint="eastAsia"/>
          <w:sz w:val="24"/>
          <w:lang w:eastAsia="zh-CN"/>
        </w:rPr>
      </w:pPr>
      <w:r>
        <w:rPr>
          <w:rFonts w:ascii="Times New Roman" w:hAnsi="Times New Roman" w:hint="eastAsia"/>
          <w:color w:val="auto"/>
          <w:sz w:val="24"/>
        </w:rPr>
        <w:t>安康市2024年普通干线公路大中修及预防性养护工程包括第一批、第二批、第三批、第四批及G316汉滨金坑至汉阴桃园公路路面改造工程、共计129.496公里，工程建设性质为二级及三级公路养护工程</w:t>
      </w:r>
      <w:r>
        <w:rPr>
          <w:rFonts w:ascii="Times New Roman" w:hAnsi="Times New Roman" w:hint="eastAsia"/>
          <w:sz w:val="24"/>
        </w:rPr>
        <w:t>。</w:t>
      </w:r>
    </w:p>
    <w:p>
      <w:pPr>
        <w:shd w:val="clear" w:color="auto" w:fill="auto"/>
        <w:spacing w:line="360" w:lineRule="auto"/>
        <w:ind w:firstLineChars="200" w:firstLine="480"/>
        <w:rPr>
          <w:rFonts w:ascii="Times New Roman" w:hAnsi="Times New Roman"/>
          <w:sz w:val="24"/>
        </w:rPr>
      </w:pPr>
      <w:r>
        <w:rPr>
          <w:rFonts w:ascii="Times New Roman" w:hAnsi="Times New Roman"/>
          <w:sz w:val="24"/>
        </w:rPr>
        <w:t>2.3 项目投资总额：</w:t>
      </w:r>
      <w:r>
        <w:rPr>
          <w:rFonts w:ascii="Times New Roman" w:hAnsi="Times New Roman" w:hint="eastAsia"/>
          <w:sz w:val="24"/>
          <w:lang w:val="en-US" w:eastAsia="zh-CN"/>
        </w:rPr>
        <w:t>850000.00</w:t>
      </w:r>
      <w:r>
        <w:rPr>
          <w:rFonts w:ascii="Times New Roman" w:hAnsi="Times New Roman"/>
          <w:sz w:val="24"/>
        </w:rPr>
        <w:t>元；</w:t>
      </w:r>
    </w:p>
    <w:p>
      <w:pPr>
        <w:shd w:val="clear" w:color="auto" w:fill="auto"/>
        <w:spacing w:line="360" w:lineRule="auto"/>
        <w:ind w:firstLineChars="200" w:firstLine="480"/>
        <w:rPr>
          <w:rFonts w:ascii="Times New Roman" w:hAnsi="Times New Roman"/>
          <w:sz w:val="24"/>
        </w:rPr>
      </w:pPr>
      <w:r>
        <w:rPr>
          <w:rFonts w:ascii="Times New Roman" w:hAnsi="Times New Roman"/>
          <w:sz w:val="24"/>
        </w:rPr>
        <w:t>2.4 标段划分：</w:t>
      </w:r>
    </w:p>
    <w:tbl>
      <w:tblPr>
        <w:jc w:val="cente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538"/>
        <w:gridCol w:w="1367"/>
        <w:gridCol w:w="676"/>
        <w:gridCol w:w="809"/>
        <w:gridCol w:w="3712"/>
        <w:gridCol w:w="1415"/>
      </w:tblGrid>
      <w:tr>
        <w:trPr>
          <w:trHeight w:val="647"/>
          <w:tblHeader/>
        </w:trPr>
        <w:tc>
          <w:tcPr>
            <w:tcW w:w="538" w:type="dxa"/>
            <w:tcBorders>
              <w:tl2br w:val="nil"/>
              <w:tr2bl w:val="nil"/>
            </w:tcBorders>
            <w:vAlign w:val="center"/>
          </w:tcPr>
          <w:p>
            <w:pPr>
              <w:keepNext w:val="0"/>
              <w:keepLines w:val="0"/>
              <w:suppressLineNumbers w:val="0"/>
              <w:shd w:val="clear" w:color="auto" w:fill="auto"/>
              <w:spacing w:beforeLines="50" w:before="156" w:beforeAutospacing="0" w:after="0" w:afterAutospacing="0"/>
              <w:ind w:left="0" w:right="0"/>
              <w:jc w:val="center"/>
              <w:rPr>
                <w:rFonts w:ascii="Times New Roman" w:hAnsi="Times New Roman"/>
                <w:b/>
                <w:bCs/>
                <w:szCs w:val="20"/>
              </w:rPr>
            </w:pPr>
            <w:r>
              <w:rPr>
                <w:rFonts w:ascii="Times New Roman" w:hAnsi="Times New Roman"/>
                <w:b/>
                <w:bCs/>
                <w:szCs w:val="20"/>
              </w:rPr>
              <w:t>工程类别</w:t>
            </w:r>
          </w:p>
        </w:tc>
        <w:tc>
          <w:tcPr>
            <w:tcW w:w="1367"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hAnsi="Times New Roman"/>
                <w:b/>
                <w:bCs/>
                <w:kern w:val="0"/>
                <w:szCs w:val="20"/>
              </w:rPr>
            </w:pPr>
            <w:r>
              <w:rPr>
                <w:rFonts w:ascii="Times New Roman" w:hAnsi="Times New Roman"/>
                <w:b/>
                <w:bCs/>
                <w:kern w:val="0"/>
                <w:szCs w:val="20"/>
              </w:rPr>
              <w:t>标段名称</w:t>
            </w:r>
          </w:p>
        </w:tc>
        <w:tc>
          <w:tcPr>
            <w:tcW w:w="676"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hAnsi="Times New Roman"/>
                <w:b/>
                <w:bCs/>
                <w:kern w:val="0"/>
                <w:szCs w:val="20"/>
              </w:rPr>
            </w:pPr>
            <w:r>
              <w:rPr>
                <w:rFonts w:ascii="Times New Roman" w:hAnsi="Times New Roman"/>
                <w:b/>
                <w:bCs/>
                <w:kern w:val="0"/>
                <w:szCs w:val="20"/>
              </w:rPr>
              <w:t>起讫桩号</w:t>
            </w:r>
          </w:p>
        </w:tc>
        <w:tc>
          <w:tcPr>
            <w:tcW w:w="809"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hAnsi="Times New Roman"/>
                <w:b/>
                <w:bCs/>
                <w:kern w:val="0"/>
                <w:szCs w:val="20"/>
              </w:rPr>
            </w:pPr>
            <w:r>
              <w:rPr>
                <w:rFonts w:ascii="Times New Roman" w:hAnsi="Times New Roman"/>
                <w:b/>
                <w:bCs/>
                <w:kern w:val="0"/>
                <w:szCs w:val="20"/>
              </w:rPr>
              <w:t>工程规模</w:t>
            </w:r>
          </w:p>
        </w:tc>
        <w:tc>
          <w:tcPr>
            <w:tcW w:w="3712"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hAnsi="Times New Roman"/>
                <w:b/>
                <w:bCs/>
                <w:kern w:val="0"/>
                <w:szCs w:val="20"/>
              </w:rPr>
            </w:pPr>
            <w:r>
              <w:rPr>
                <w:rFonts w:ascii="Times New Roman" w:hAnsi="Times New Roman"/>
                <w:b/>
                <w:bCs/>
                <w:kern w:val="0"/>
                <w:szCs w:val="20"/>
              </w:rPr>
              <w:t>主要工程内容</w:t>
            </w:r>
          </w:p>
          <w:p>
            <w:pPr>
              <w:keepNext w:val="0"/>
              <w:keepLines w:val="0"/>
              <w:suppressLineNumbers w:val="0"/>
              <w:shd w:val="clear" w:color="auto" w:fill="auto"/>
              <w:spacing w:before="0" w:beforeAutospacing="0" w:after="0" w:afterAutospacing="0"/>
              <w:ind w:left="0" w:right="0"/>
              <w:jc w:val="center"/>
              <w:rPr>
                <w:rFonts w:ascii="Times New Roman" w:hAnsi="Times New Roman"/>
                <w:b/>
                <w:bCs/>
                <w:szCs w:val="20"/>
              </w:rPr>
            </w:pPr>
          </w:p>
        </w:tc>
        <w:tc>
          <w:tcPr>
            <w:tcW w:w="1415"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hAnsi="Times New Roman"/>
                <w:b/>
                <w:bCs/>
                <w:kern w:val="0"/>
                <w:szCs w:val="20"/>
              </w:rPr>
            </w:pPr>
            <w:r>
              <w:rPr>
                <w:rFonts w:ascii="Times New Roman" w:hAnsi="Times New Roman"/>
                <w:b/>
                <w:bCs/>
                <w:kern w:val="0"/>
                <w:szCs w:val="20"/>
              </w:rPr>
              <w:t>计划工期</w:t>
            </w:r>
          </w:p>
        </w:tc>
      </w:tr>
      <w:tr>
        <w:trPr>
          <w:trHeight w:val="1009"/>
        </w:trPr>
        <w:tc>
          <w:tcPr>
            <w:tcW w:w="538" w:type="dxa"/>
            <w:tcBorders>
              <w:tl2br w:val="nil"/>
              <w:tr2bl w:val="nil"/>
            </w:tcBorders>
            <w:vAlign w:val="center"/>
          </w:tcPr>
          <w:p>
            <w:pPr>
              <w:keepNext w:val="0"/>
              <w:keepLines w:val="0"/>
              <w:suppressLineNumbers w:val="0"/>
              <w:shd w:val="clear" w:color="auto" w:fill="auto"/>
              <w:spacing w:before="0" w:beforeAutospacing="0" w:after="0" w:afterAutospacing="0"/>
              <w:ind w:left="0" w:right="0"/>
              <w:jc w:val="center"/>
              <w:rPr>
                <w:rFonts w:ascii="Times New Roman" w:eastAsia="宋体" w:hAnsi="Times New Roman" w:hint="eastAsia"/>
                <w:szCs w:val="20"/>
                <w:lang w:eastAsia="zh-CN"/>
              </w:rPr>
            </w:pPr>
            <w:r>
              <w:rPr>
                <w:rFonts w:ascii="Times New Roman" w:hAnsi="Times New Roman" w:hint="eastAsia"/>
                <w:szCs w:val="20"/>
                <w:lang w:val="en-US" w:eastAsia="zh-CN"/>
              </w:rPr>
              <w:t>竣（交）工质量检测</w:t>
            </w:r>
          </w:p>
        </w:tc>
        <w:tc>
          <w:tcPr>
            <w:tcW w:w="1367" w:type="dxa"/>
            <w:tcBorders>
              <w:tl2br w:val="nil"/>
              <w:tr2bl w:val="nil"/>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eastAsia="宋体" w:hAnsi="Times New Roman"/>
                <w:szCs w:val="20"/>
                <w:lang w:val="en-US" w:eastAsia="zh-CN"/>
              </w:rPr>
            </w:pPr>
            <w:r>
              <w:rPr>
                <w:rFonts w:ascii="Times New Roman" w:hAnsi="Times New Roman" w:hint="eastAsia"/>
                <w:szCs w:val="20"/>
                <w:lang w:eastAsia="zh-CN"/>
              </w:rPr>
              <w:t>安康市2024年养护大中修及预防性养护工程、路面改造工程竣（交）工验收质量检测招标JC-1</w:t>
            </w:r>
            <w:r>
              <w:rPr>
                <w:rFonts w:ascii="Times New Roman" w:hAnsi="Times New Roman" w:hint="eastAsia"/>
                <w:szCs w:val="20"/>
                <w:lang w:val="en-US" w:eastAsia="zh-CN"/>
              </w:rPr>
              <w:t>标段</w:t>
            </w:r>
          </w:p>
        </w:tc>
        <w:tc>
          <w:tcPr>
            <w:tcW w:w="676" w:type="dxa"/>
            <w:tcBorders>
              <w:tl2br w:val="nil"/>
              <w:tr2bl w:val="nil"/>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hAnsi="Times New Roman"/>
                <w:szCs w:val="20"/>
              </w:rPr>
            </w:pPr>
            <w:r>
              <w:rPr>
                <w:rFonts w:ascii="Times New Roman" w:hAnsi="Times New Roman"/>
                <w:szCs w:val="20"/>
              </w:rPr>
              <w:t>/</w:t>
            </w:r>
          </w:p>
        </w:tc>
        <w:tc>
          <w:tcPr>
            <w:tcW w:w="809" w:type="dxa"/>
            <w:tcBorders>
              <w:tl2br w:val="nil"/>
              <w:tr2bl w:val="nil"/>
            </w:tcBorders>
            <w:vAlign w:val="center"/>
          </w:tcPr>
          <w:p>
            <w:pPr>
              <w:keepNext w:val="0"/>
              <w:keepLines w:val="0"/>
              <w:suppressLineNumbers w:val="0"/>
              <w:shd w:val="clear" w:color="auto" w:fill="auto"/>
              <w:wordWrap w:val="0"/>
              <w:spacing w:before="0" w:beforeAutospacing="0" w:after="0" w:afterAutospacing="0"/>
              <w:ind w:left="0" w:right="0"/>
              <w:jc w:val="center"/>
              <w:rPr>
                <w:rFonts w:ascii="Times New Roman" w:hAnsi="Times New Roman"/>
                <w:szCs w:val="20"/>
              </w:rPr>
            </w:pPr>
            <w:r>
              <w:rPr>
                <w:rFonts w:ascii="Times New Roman" w:hAnsi="Times New Roman"/>
                <w:szCs w:val="20"/>
              </w:rPr>
              <w:t>/</w:t>
            </w:r>
          </w:p>
        </w:tc>
        <w:tc>
          <w:tcPr>
            <w:tcW w:w="3712" w:type="dxa"/>
            <w:tcBorders>
              <w:tl2br w:val="nil"/>
              <w:tr2bl w:val="nil"/>
            </w:tcBorders>
            <w:vAlign w:val="center"/>
          </w:tcPr>
          <w:p>
            <w:pPr>
              <w:keepNext w:val="0"/>
              <w:keepLines w:val="0"/>
              <w:suppressLineNumbers w:val="0"/>
              <w:shd w:val="clear" w:color="auto" w:fill="auto"/>
              <w:wordWrap w:val="0"/>
              <w:spacing w:before="0" w:beforeAutospacing="0" w:after="0" w:afterAutospacing="0"/>
              <w:ind w:left="0" w:right="0"/>
              <w:jc w:val="left"/>
              <w:rPr>
                <w:rFonts w:ascii="Times New Roman" w:hAnsi="Times New Roman" w:hint="eastAsia"/>
                <w:szCs w:val="20"/>
                <w:lang w:val="en-US" w:eastAsia="zh-CN"/>
              </w:rPr>
            </w:pPr>
            <w:r>
              <w:rPr>
                <w:rFonts w:ascii="Times New Roman" w:hAnsi="Times New Roman" w:hint="eastAsia"/>
                <w:szCs w:val="20"/>
                <w:lang w:val="en-US" w:eastAsia="zh-CN"/>
              </w:rPr>
              <w:t>（1）独立完成本项目施工批复范围内所有的路基工程、路面工程、桥梁涵洞工程、交通安全设施、交叉工程、绿化环保工程、临时工程等其他工程的试验检测工作。</w:t>
            </w:r>
          </w:p>
          <w:p>
            <w:pPr>
              <w:keepNext w:val="0"/>
              <w:keepLines w:val="0"/>
              <w:suppressLineNumbers w:val="0"/>
              <w:shd w:val="clear" w:color="auto" w:fill="auto"/>
              <w:wordWrap w:val="0"/>
              <w:spacing w:before="0" w:beforeAutospacing="0" w:after="0" w:afterAutospacing="0"/>
              <w:ind w:left="0" w:right="0"/>
              <w:jc w:val="left"/>
              <w:rPr>
                <w:rFonts w:ascii="Times New Roman" w:hAnsi="Times New Roman"/>
                <w:szCs w:val="20"/>
              </w:rPr>
            </w:pPr>
            <w:r>
              <w:rPr>
                <w:rFonts w:ascii="Times New Roman" w:hAnsi="Times New Roman" w:hint="eastAsia"/>
                <w:szCs w:val="20"/>
                <w:lang w:val="en-US" w:eastAsia="zh-CN"/>
              </w:rPr>
              <w:t>（2）按照公路工程竣（交）工验收办法及实施细则以及有关文件及相关规定进行施工过程质量抽检、交通产品抽检、内业资料审查、竣（交）工质量检测，并及时提交阶段性质量检测报告、竣（交）工质量检测报告，检验数据真实有效。</w:t>
            </w:r>
          </w:p>
        </w:tc>
        <w:tc>
          <w:tcPr>
            <w:tcW w:w="1415" w:type="dxa"/>
            <w:tcBorders>
              <w:tl2br w:val="nil"/>
              <w:tr2bl w:val="nil"/>
            </w:tcBorders>
            <w:vAlign w:val="center"/>
          </w:tcPr>
          <w:p>
            <w:pPr>
              <w:keepNext w:val="0"/>
              <w:keepLines w:val="0"/>
              <w:suppressLineNumbers w:val="0"/>
              <w:shd w:val="clear" w:color="auto" w:fill="auto"/>
              <w:spacing w:before="0" w:beforeAutospacing="0" w:after="0" w:afterAutospacing="0"/>
              <w:ind w:left="0" w:right="0" w:firstLine="0"/>
              <w:jc w:val="center"/>
              <w:rPr>
                <w:rFonts w:ascii="Times New Roman" w:hAnsi="Times New Roman"/>
                <w:szCs w:val="20"/>
              </w:rPr>
            </w:pPr>
            <w:r>
              <w:rPr>
                <w:rFonts w:ascii="Times New Roman" w:hAnsi="Times New Roman" w:hint="eastAsia"/>
                <w:szCs w:val="20"/>
                <w:lang w:val="en-US" w:eastAsia="zh-CN"/>
              </w:rPr>
              <w:t>30</w:t>
            </w:r>
            <w:r>
              <w:rPr>
                <w:rFonts w:ascii="Times New Roman" w:hAnsi="Times New Roman"/>
                <w:szCs w:val="20"/>
              </w:rPr>
              <w:t>天</w:t>
            </w:r>
          </w:p>
        </w:tc>
      </w:tr>
    </w:tbl>
    <w:p>
      <w:pPr>
        <w:spacing w:line="360" w:lineRule="auto"/>
        <w:ind w:firstLineChars="200" w:firstLine="480"/>
        <w:rPr>
          <w:lang w:val="en-US" w:eastAsia="zh-CN"/>
        </w:rPr>
      </w:pPr>
      <w:r>
        <w:rPr>
          <w:rFonts w:ascii="Times New Roman" w:hAnsi="Times New Roman"/>
          <w:sz w:val="24"/>
        </w:rPr>
        <w:t>2.5 其他：</w:t>
      </w:r>
      <w:r>
        <w:rPr>
          <w:rFonts w:ascii="Times New Roman" w:hAnsi="Times New Roman" w:hint="eastAsia"/>
          <w:sz w:val="24"/>
          <w:lang w:val="en-US" w:eastAsia="zh-CN"/>
        </w:rPr>
        <w:t>计划服务期：30天，缺陷责任期6个月。</w:t>
      </w:r>
      <w:bookmarkStart w:id="10" w:name="_Toc501257035"/>
      <w:bookmarkStart w:id="11" w:name="_Toc470760975"/>
      <w:bookmarkStart w:id="12" w:name="_Toc19165"/>
      <w:bookmarkStart w:id="13" w:name="_Toc1220"/>
      <w:bookmarkStart w:id="14" w:name="_Toc1430"/>
      <w:bookmarkStart w:id="15" w:name="_Toc17135"/>
    </w:p>
    <w:p>
      <w:pPr>
        <w:adjustRightInd/>
        <w:spacing w:line="360" w:lineRule="auto"/>
        <w:jc w:val="both"/>
        <w:textAlignment w:val="auto"/>
        <w:rPr>
          <w:rFonts w:ascii="黑体" w:eastAsia="黑体" w:cs="黑体" w:hAnsi="黑体" w:hint="eastAsia"/>
          <w:kern w:val="2"/>
          <w:sz w:val="24"/>
          <w:szCs w:val="24"/>
          <w:lang w:val="en-US" w:eastAsia="zh-CN"/>
        </w:rPr>
      </w:pPr>
      <w:r>
        <w:rPr>
          <w:rFonts w:ascii="黑体" w:eastAsia="黑体" w:cs="黑体" w:hAnsi="黑体" w:hint="eastAsia"/>
          <w:kern w:val="2"/>
          <w:sz w:val="24"/>
          <w:szCs w:val="24"/>
          <w:lang w:val="en-US" w:eastAsia="zh-CN"/>
        </w:rPr>
        <w:t>3. 投标人资格要求</w:t>
      </w:r>
      <w:bookmarkEnd w:id="10"/>
      <w:bookmarkEnd w:id="11"/>
      <w:bookmarkEnd w:id="12"/>
      <w:bookmarkEnd w:id="13"/>
      <w:bookmarkEnd w:id="14"/>
      <w:bookmarkEnd w:id="15"/>
    </w:p>
    <w:p>
      <w:pPr>
        <w:spacing w:line="360" w:lineRule="auto"/>
        <w:ind w:firstLineChars="200" w:firstLine="480"/>
        <w:rPr>
          <w:rFonts w:ascii="Times New Roman" w:hAnsi="Times New Roman"/>
          <w:sz w:val="24"/>
          <w:szCs w:val="28"/>
        </w:rPr>
      </w:pPr>
      <w:r>
        <w:rPr>
          <w:rFonts w:ascii="Times New Roman" w:eastAsia="宋体" w:hAnsi="Times New Roman"/>
          <w:sz w:val="24"/>
          <w:szCs w:val="28"/>
        </w:rPr>
        <w:t xml:space="preserve">3.1 </w:t>
      </w:r>
      <w:r>
        <w:rPr>
          <w:rFonts w:ascii="Times New Roman" w:hAnsi="Times New Roman" w:hint="eastAsia"/>
          <w:sz w:val="24"/>
          <w:szCs w:val="28"/>
          <w:lang w:eastAsia="zh-CN"/>
        </w:rPr>
        <w:t>安康市2024年养护大中修及预防性养护工程、路面改造工程竣（交）工验收质量检测招标JC-1标段</w:t>
      </w:r>
      <w:r>
        <w:rPr>
          <w:rFonts w:ascii="Times New Roman" w:hAnsi="Times New Roman"/>
          <w:sz w:val="24"/>
          <w:szCs w:val="28"/>
        </w:rPr>
        <w:t>：本</w:t>
      </w:r>
      <w:r>
        <w:rPr>
          <w:rFonts w:ascii="Times New Roman" w:hAnsi="Times New Roman" w:hint="eastAsia"/>
          <w:sz w:val="24"/>
          <w:szCs w:val="28"/>
          <w:lang w:val="en-US" w:eastAsia="zh-CN"/>
        </w:rPr>
        <w:t>标段</w:t>
      </w:r>
      <w:r>
        <w:rPr>
          <w:rFonts w:ascii="Times New Roman" w:hAnsi="Times New Roman"/>
          <w:sz w:val="24"/>
          <w:szCs w:val="28"/>
        </w:rPr>
        <w:t>要求投标人须具备以下资质、以下业绩，并在人员、设备、资金等方面具备相应的</w:t>
      </w:r>
      <w:r>
        <w:rPr>
          <w:rFonts w:ascii="Times New Roman" w:hAnsi="Times New Roman" w:hint="eastAsia"/>
          <w:sz w:val="24"/>
          <w:szCs w:val="28"/>
          <w:lang w:val="en-US" w:eastAsia="zh-CN"/>
        </w:rPr>
        <w:t>检测</w:t>
      </w:r>
      <w:r>
        <w:rPr>
          <w:rFonts w:ascii="Times New Roman" w:hAnsi="Times New Roman"/>
          <w:sz w:val="24"/>
          <w:szCs w:val="28"/>
        </w:rPr>
        <w:t>能力。</w:t>
      </w:r>
    </w:p>
    <w:p>
      <w:pPr>
        <w:spacing w:line="360" w:lineRule="auto"/>
        <w:ind w:firstLineChars="200" w:firstLine="480"/>
        <w:rPr>
          <w:rFonts w:ascii="Times New Roman" w:hAnsi="Times New Roman" w:hint="eastAsia"/>
          <w:sz w:val="24"/>
          <w:szCs w:val="28"/>
          <w:lang w:val="en-US" w:eastAsia="zh-CN"/>
        </w:rPr>
      </w:pPr>
      <w:r>
        <w:rPr>
          <w:rFonts w:ascii="Times New Roman" w:hAnsi="Times New Roman" w:hint="eastAsia"/>
          <w:sz w:val="24"/>
          <w:szCs w:val="28"/>
          <w:lang w:val="en-US" w:eastAsia="zh-CN"/>
        </w:rPr>
        <w:t>3.1.1资质要求</w:t>
      </w:r>
    </w:p>
    <w:p>
      <w:pPr>
        <w:spacing w:line="360" w:lineRule="auto"/>
        <w:ind w:firstLineChars="200" w:firstLine="480"/>
        <w:rPr>
          <w:rFonts w:ascii="Times New Roman" w:hAnsi="Times New Roman" w:hint="eastAsia"/>
          <w:sz w:val="24"/>
          <w:szCs w:val="28"/>
          <w:lang w:val="en-US" w:eastAsia="zh-CN"/>
        </w:rPr>
      </w:pPr>
      <w:r>
        <w:rPr>
          <w:rFonts w:ascii="Times New Roman" w:hAnsi="Times New Roman" w:hint="eastAsia"/>
          <w:sz w:val="24"/>
          <w:szCs w:val="28"/>
          <w:lang w:val="en-US" w:eastAsia="zh-CN"/>
        </w:rPr>
        <w:t>①投标人具备独立法人资格且持有有效的企业法人营业执照或事业单位法人证书；</w:t>
      </w:r>
    </w:p>
    <w:p>
      <w:pPr>
        <w:spacing w:line="360" w:lineRule="auto"/>
        <w:ind w:firstLineChars="200" w:firstLine="480"/>
        <w:rPr>
          <w:rFonts w:ascii="Times New Roman" w:hAnsi="Times New Roman" w:hint="eastAsia"/>
          <w:sz w:val="24"/>
          <w:szCs w:val="28"/>
          <w:lang w:val="en-US" w:eastAsia="zh-CN"/>
        </w:rPr>
      </w:pPr>
      <w:r>
        <w:rPr>
          <w:rFonts w:ascii="Times New Roman" w:hAnsi="Times New Roman" w:hint="eastAsia"/>
          <w:sz w:val="24"/>
          <w:szCs w:val="28"/>
          <w:lang w:val="en-US" w:eastAsia="zh-CN"/>
        </w:rPr>
        <w:t>②投标人具有省级及以上交通运输工程质量监督部门核发的公路工程试验检测综合乙级及以上等级证书，同时具有省级及其以上质量技术监督部门颁发的资质认定证书。</w:t>
      </w:r>
    </w:p>
    <w:p>
      <w:pPr>
        <w:spacing w:line="360" w:lineRule="auto"/>
        <w:ind w:firstLineChars="200" w:firstLine="480"/>
        <w:rPr>
          <w:rFonts w:ascii="Times New Roman" w:hAnsi="Times New Roman" w:hint="eastAsia"/>
          <w:sz w:val="24"/>
          <w:szCs w:val="28"/>
          <w:lang w:val="en-US" w:eastAsia="zh-CN"/>
        </w:rPr>
      </w:pPr>
      <w:r>
        <w:rPr>
          <w:rFonts w:ascii="Times New Roman" w:hAnsi="Times New Roman" w:hint="eastAsia"/>
          <w:sz w:val="24"/>
          <w:szCs w:val="28"/>
          <w:lang w:val="en-US" w:eastAsia="zh-CN"/>
        </w:rPr>
        <w:t>3.1.2业绩要求</w:t>
      </w:r>
    </w:p>
    <w:p>
      <w:pPr>
        <w:spacing w:line="360" w:lineRule="auto"/>
        <w:ind w:firstLineChars="200" w:firstLine="480"/>
        <w:rPr>
          <w:rFonts w:ascii="Times New Roman" w:eastAsia="宋体" w:hAnsi="Times New Roman" w:hint="eastAsia"/>
          <w:sz w:val="24"/>
          <w:szCs w:val="28"/>
        </w:rPr>
      </w:pPr>
      <w:r>
        <w:rPr>
          <w:rFonts w:ascii="Times New Roman" w:eastAsia="宋体" w:hAnsi="Times New Roman" w:hint="eastAsia"/>
          <w:sz w:val="24"/>
          <w:szCs w:val="28"/>
        </w:rPr>
        <w:t>投标人在近5年内（2019年9月1日至投标截止日，以合同签订为准），至少完成过1项二级及以上公路工程试验检测或竣（交）工质量检测工作。</w:t>
      </w:r>
    </w:p>
    <w:p>
      <w:pPr>
        <w:spacing w:line="360" w:lineRule="auto"/>
        <w:ind w:firstLineChars="200" w:firstLine="480"/>
        <w:rPr>
          <w:rFonts w:ascii="Times New Roman" w:eastAsia="宋体" w:hAnsi="Times New Roman" w:hint="eastAsia"/>
          <w:sz w:val="24"/>
          <w:szCs w:val="28"/>
        </w:rPr>
      </w:pPr>
      <w:r>
        <w:rPr>
          <w:rFonts w:ascii="Times New Roman" w:eastAsia="宋体" w:hAnsi="Times New Roman" w:hint="eastAsia"/>
          <w:sz w:val="24"/>
          <w:szCs w:val="28"/>
        </w:rPr>
        <w:t>3.1.</w:t>
      </w:r>
      <w:r>
        <w:rPr>
          <w:rFonts w:ascii="Times New Roman" w:eastAsia="宋体" w:hAnsi="Times New Roman" w:hint="eastAsia"/>
          <w:sz w:val="24"/>
          <w:szCs w:val="28"/>
          <w:lang w:val="en-US" w:eastAsia="zh-CN"/>
        </w:rPr>
        <w:t>3</w:t>
      </w:r>
      <w:r>
        <w:rPr>
          <w:rFonts w:ascii="Times New Roman" w:eastAsia="宋体" w:hAnsi="Times New Roman" w:hint="eastAsia"/>
          <w:sz w:val="24"/>
          <w:szCs w:val="28"/>
        </w:rPr>
        <w:t>主要人员要求：</w:t>
      </w:r>
    </w:p>
    <w:p>
      <w:pPr>
        <w:spacing w:line="360" w:lineRule="auto"/>
        <w:ind w:firstLineChars="200" w:firstLine="480"/>
        <w:rPr>
          <w:rFonts w:ascii="Times New Roman" w:eastAsia="宋体" w:cs="Times New Roman" w:hAnsi="Times New Roman" w:hint="eastAsia"/>
          <w:sz w:val="24"/>
          <w:szCs w:val="28"/>
          <w:lang w:eastAsia="zh-CN"/>
        </w:rPr>
      </w:pPr>
      <w:r>
        <w:rPr>
          <w:rFonts w:ascii="Times New Roman" w:hAnsi="Times New Roman" w:hint="eastAsia"/>
          <w:sz w:val="24"/>
          <w:szCs w:val="28"/>
          <w:lang w:val="en-US" w:eastAsia="zh-CN"/>
        </w:rPr>
        <w:t>项目负责人</w:t>
      </w:r>
      <w:r>
        <w:rPr>
          <w:rFonts w:ascii="Times New Roman" w:eastAsia="宋体" w:cs="Times New Roman" w:hAnsi="Times New Roman" w:hint="eastAsia"/>
          <w:sz w:val="24"/>
          <w:szCs w:val="28"/>
        </w:rPr>
        <w:t>1名：具备公路工程相关专业中级及以上技术职称，持有交通运输部颁发的试验检测工程师资格证书，担任过1项二级及以上公路工程试验检测或竣</w:t>
      </w:r>
      <w:r>
        <w:rPr>
          <w:rFonts w:ascii="Times New Roman" w:cs="Times New Roman" w:hAnsi="Times New Roman" w:hint="eastAsia"/>
          <w:sz w:val="24"/>
          <w:szCs w:val="28"/>
          <w:lang w:eastAsia="zh-CN"/>
        </w:rPr>
        <w:t>（</w:t>
      </w:r>
      <w:r>
        <w:rPr>
          <w:rFonts w:ascii="Times New Roman" w:eastAsia="宋体" w:cs="Times New Roman" w:hAnsi="Times New Roman" w:hint="eastAsia"/>
          <w:sz w:val="24"/>
          <w:szCs w:val="28"/>
        </w:rPr>
        <w:t>交</w:t>
      </w:r>
      <w:r>
        <w:rPr>
          <w:rFonts w:ascii="Times New Roman" w:cs="Times New Roman" w:hAnsi="Times New Roman" w:hint="eastAsia"/>
          <w:sz w:val="24"/>
          <w:szCs w:val="28"/>
          <w:lang w:eastAsia="zh-CN"/>
        </w:rPr>
        <w:t>）</w:t>
      </w:r>
      <w:r>
        <w:rPr>
          <w:rFonts w:ascii="Times New Roman" w:eastAsia="宋体" w:cs="Times New Roman" w:hAnsi="Times New Roman" w:hint="eastAsia"/>
          <w:sz w:val="24"/>
          <w:szCs w:val="28"/>
        </w:rPr>
        <w:t>工质量检测的项目负责人。</w:t>
      </w:r>
    </w:p>
    <w:p>
      <w:pPr>
        <w:spacing w:line="360" w:lineRule="auto"/>
        <w:ind w:firstLineChars="200" w:firstLine="480"/>
        <w:rPr>
          <w:rFonts w:ascii="Times New Roman" w:eastAsia="宋体" w:cs="Times New Roman" w:hAnsi="Times New Roman" w:hint="eastAsia"/>
          <w:sz w:val="24"/>
          <w:szCs w:val="28"/>
        </w:rPr>
      </w:pPr>
      <w:r>
        <w:rPr>
          <w:rFonts w:ascii="Times New Roman" w:eastAsia="宋体" w:cs="Times New Roman" w:hAnsi="Times New Roman" w:hint="eastAsia"/>
          <w:sz w:val="24"/>
          <w:szCs w:val="28"/>
        </w:rPr>
        <w:t>目前未在其他项目上任职，或由投标人出具的虽在其他项目上任职但本项目中标后能够从该项目撤离的承诺。</w:t>
      </w:r>
    </w:p>
    <w:p>
      <w:pPr>
        <w:spacing w:line="360" w:lineRule="auto"/>
        <w:ind w:firstLineChars="200" w:firstLine="480"/>
        <w:rPr>
          <w:rFonts w:ascii="Times New Roman" w:eastAsia="宋体" w:cs="Times New Roman" w:hAnsi="Times New Roman" w:hint="eastAsia"/>
          <w:sz w:val="24"/>
          <w:szCs w:val="28"/>
        </w:rPr>
      </w:pPr>
      <w:r>
        <w:rPr>
          <w:rFonts w:ascii="Times New Roman" w:eastAsia="宋体" w:cs="Times New Roman" w:hAnsi="Times New Roman" w:hint="eastAsia"/>
          <w:sz w:val="24"/>
          <w:szCs w:val="28"/>
        </w:rPr>
        <w:t>3.1.</w:t>
      </w:r>
      <w:r>
        <w:rPr>
          <w:rFonts w:ascii="Times New Roman" w:eastAsia="宋体" w:cs="Times New Roman" w:hAnsi="Times New Roman" w:hint="eastAsia"/>
          <w:sz w:val="24"/>
          <w:szCs w:val="28"/>
          <w:lang w:val="en-US" w:eastAsia="zh-CN"/>
        </w:rPr>
        <w:t>4</w:t>
      </w:r>
      <w:r>
        <w:rPr>
          <w:rFonts w:ascii="Times New Roman" w:eastAsia="宋体" w:cs="Times New Roman" w:hAnsi="Times New Roman" w:hint="eastAsia"/>
          <w:sz w:val="24"/>
          <w:szCs w:val="28"/>
        </w:rPr>
        <w:t>企业信誉要求：投标人存在下列不良状况或不良信用记录的单位，不得参加投标：</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①凡被交通运输部或陕西省交通运输主管部门取消或暂停在陕西省投标资格且在处罚期内的单位无资格参与本项目投标；</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②凡在最近一个年度“公路水运工程质量检测管理信息系统”试验检测机构的全国综合信用评价结果中或陕西省公路水运工程试验检测信用评价结果中，被评为D级或曾被评为D级但处罚期限未过的单位无资格参与本项目投标；</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③被责令停业，暂扣或吊销执照，或吊销资质证书；</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④进入清算程序，或被宣告破产，或其他丧失履约能力的情形；</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⑤在国家企业信用信息公示系统（http://www.gsxt.gov.cn/）中被列入严重违法失信企业名单；在“信用中国”网站（http://www.creditchina.gov.cn/）中被列入失信被执行人名单；</w:t>
      </w:r>
    </w:p>
    <w:p>
      <w:pPr>
        <w:spacing w:line="360" w:lineRule="auto"/>
        <w:ind w:firstLineChars="200" w:firstLine="480"/>
        <w:rPr>
          <w:rFonts w:ascii="Times New Roman" w:eastAsia="宋体" w:cs="Times New Roman" w:hAnsi="Times New Roman" w:hint="eastAsia"/>
          <w:sz w:val="24"/>
          <w:szCs w:val="28"/>
          <w:lang w:val="en-US" w:eastAsia="zh-CN"/>
        </w:rPr>
      </w:pPr>
      <w:r>
        <w:rPr>
          <w:rFonts w:ascii="Times New Roman" w:eastAsia="宋体" w:cs="Times New Roman" w:hAnsi="Times New Roman" w:hint="eastAsia"/>
          <w:sz w:val="24"/>
          <w:szCs w:val="28"/>
          <w:lang w:val="en-US" w:eastAsia="zh-CN"/>
        </w:rPr>
        <w:t>⑥投标人及其法定代表人、拟委任的项目负责人在近三年内有行贿犯罪行为的；</w:t>
      </w:r>
    </w:p>
    <w:p>
      <w:pPr>
        <w:shd w:val="clear" w:color="auto" w:fill="auto"/>
        <w:spacing w:line="360" w:lineRule="auto"/>
        <w:ind w:firstLineChars="200" w:firstLine="480"/>
        <w:rPr>
          <w:rFonts w:ascii="Times New Roman" w:eastAsia="宋体" w:cs="Times New Roman" w:hAnsi="Times New Roman"/>
          <w:sz w:val="24"/>
          <w:lang w:eastAsia="zh-CN"/>
        </w:rPr>
      </w:pPr>
      <w:r>
        <w:rPr>
          <w:rFonts w:ascii="Times New Roman" w:eastAsia="宋体" w:cs="Times New Roman" w:hAnsi="Times New Roman" w:hint="eastAsia"/>
          <w:sz w:val="24"/>
          <w:szCs w:val="28"/>
          <w:lang w:val="en-US" w:eastAsia="zh-CN"/>
        </w:rPr>
        <w:t>⑦法律法规规定的其他情形。</w:t>
      </w:r>
    </w:p>
    <w:p>
      <w:pPr>
        <w:jc w:val="right"/>
        <w:rPr>
          <w:rFonts w:ascii="Times New Roman" w:cs="Times New Roman" w:hAnsi="Times New Roman"/>
          <w:sz w:val="24"/>
        </w:rPr>
      </w:pPr>
    </w:p>
    <w:p>
      <w:pPr>
        <w:rPr>
          <w:rFonts w:ascii="Times New Roman" w:cs="Times New Roman" w:hAnsi="Times New Roman"/>
          <w:sz w:val="24"/>
        </w:rPr>
      </w:pPr>
      <w:r>
        <w:rPr>
          <w:rFonts w:ascii="Times New Roman" w:cs="Times New Roman" w:hAnsi="Times New Roman"/>
          <w:sz w:val="24"/>
        </w:rPr>
        <w:br w:type="page"/>
      </w:r>
    </w:p>
    <w:p>
      <w:pPr>
        <w:wordWrap w:val="0"/>
        <w:topLinePunct/>
        <w:spacing w:beforeLines="100" w:before="312" w:afterLines="100" w:after="312" w:line="440" w:lineRule="exact"/>
        <w:jc w:val="center"/>
        <w:rPr>
          <w:rFonts w:ascii="Times New Roman" w:eastAsia="黑体" w:cs="Times New Roman" w:hAnsi="Times New Roman"/>
          <w:color w:val="000000"/>
          <w:sz w:val="28"/>
        </w:rPr>
      </w:pPr>
      <w:r>
        <w:rPr>
          <w:rFonts w:ascii="Times New Roman" w:eastAsia="黑体" w:cs="Times New Roman" w:hAnsi="Times New Roman"/>
          <w:color w:val="000000"/>
          <w:sz w:val="28"/>
        </w:rPr>
        <w:t>评标办法（综合评估法）</w:t>
      </w:r>
    </w:p>
    <w:p>
      <w:pPr>
        <w:keepNext/>
        <w:keepLines/>
        <w:adjustRightInd/>
        <w:spacing w:before="480" w:after="240" w:line="380" w:lineRule="atLeast"/>
        <w:jc w:val="both"/>
        <w:textAlignment w:val="auto"/>
        <w:outlineLvl w:val="1"/>
        <w:rPr>
          <w:rFonts w:ascii="Times New Roman" w:eastAsia="黑体" w:cs="Times New Roman" w:hAnsi="Times New Roman"/>
          <w:bCs/>
          <w:color w:val="000000"/>
          <w:kern w:val="44"/>
          <w:sz w:val="24"/>
          <w:szCs w:val="24"/>
        </w:rPr>
      </w:pPr>
      <w:r>
        <w:rPr>
          <w:rFonts w:ascii="Times New Roman" w:eastAsia="黑体" w:cs="Times New Roman" w:hAnsi="Times New Roman"/>
          <w:bCs/>
          <w:color w:val="000000"/>
          <w:kern w:val="44"/>
          <w:sz w:val="24"/>
          <w:szCs w:val="24"/>
        </w:rPr>
        <w:t>评标办法前附表</w:t>
      </w:r>
    </w:p>
    <w:tbl>
      <w:tblPr>
        <w:jc w:val="left"/>
        <w:tblInd w:w="0" w:type="dxa"/>
        <w:tblW w:w="8816"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42"/>
        <w:gridCol w:w="659"/>
        <w:gridCol w:w="652"/>
        <w:gridCol w:w="872"/>
        <w:gridCol w:w="1236"/>
        <w:gridCol w:w="769"/>
        <w:gridCol w:w="3686"/>
      </w:tblGrid>
      <w:tr>
        <w:trPr>
          <w:tblHeader/>
        </w:trPr>
        <w:tc>
          <w:tcPr>
            <w:tcW w:w="2253" w:type="dxa"/>
            <w:gridSpan w:val="3"/>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条款号</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pacing w:val="4"/>
                <w:sz w:val="24"/>
                <w:szCs w:val="20"/>
              </w:rPr>
            </w:pPr>
            <w:r>
              <w:rPr>
                <w:rFonts w:ascii="Times New Roman" w:cs="Times New Roman" w:hAnsi="Times New Roman"/>
                <w:b/>
                <w:color w:val="000000"/>
                <w:spacing w:val="4"/>
                <w:sz w:val="24"/>
                <w:szCs w:val="20"/>
              </w:rPr>
              <w:t>评审因素与评审标准</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1</w:t>
            </w:r>
          </w:p>
        </w:tc>
        <w:tc>
          <w:tcPr>
            <w:tcW w:w="131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评标方法</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综合评分相等时，评标委员会依次按照以下优先顺序推荐中标候选人或确定中标人：</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（1）评标价低的投标人优先；</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（2）陕西省</w:t>
            </w:r>
            <w:r>
              <w:rPr>
                <w:rFonts w:ascii="Times New Roman" w:cs="Times New Roman" w:hAnsi="Times New Roman" w:hint="eastAsia"/>
                <w:color w:val="000000"/>
                <w:sz w:val="24"/>
                <w:szCs w:val="20"/>
                <w:lang w:val="en-US" w:eastAsia="zh-CN"/>
              </w:rPr>
              <w:t>最新</w:t>
            </w:r>
            <w:r>
              <w:rPr>
                <w:rFonts w:ascii="Times New Roman" w:cs="Times New Roman" w:hAnsi="Times New Roman"/>
                <w:color w:val="000000"/>
                <w:sz w:val="24"/>
                <w:szCs w:val="20"/>
              </w:rPr>
              <w:t>年度公路水运工程试验检测信用评价结果的通知中</w:t>
            </w:r>
            <w:r>
              <w:rPr>
                <w:rFonts w:ascii="Times New Roman" w:cs="Times New Roman" w:hAnsi="Times New Roman" w:hint="eastAsia"/>
                <w:color w:val="000000"/>
                <w:sz w:val="24"/>
                <w:szCs w:val="20"/>
                <w:lang w:val="en-US" w:eastAsia="zh-CN"/>
              </w:rPr>
              <w:t>检测</w:t>
            </w:r>
            <w:r>
              <w:rPr>
                <w:rFonts w:ascii="Times New Roman" w:cs="Times New Roman" w:hAnsi="Times New Roman"/>
                <w:color w:val="000000"/>
                <w:sz w:val="24"/>
                <w:szCs w:val="20"/>
              </w:rPr>
              <w:t>企业信用评价结果中评为较高信用等级的投标人优先；</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（3）商务和技术得分较高的投标人优先；</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r>
              <w:rPr>
                <w:rFonts w:ascii="Times New Roman" w:cs="Times New Roman" w:hAnsi="Times New Roman"/>
                <w:color w:val="000000"/>
                <w:sz w:val="24"/>
                <w:szCs w:val="20"/>
              </w:rPr>
              <w:t>（4）商务和技术文件得分相等时，则以递交文件顺序较前的优先。</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2.1.1</w:t>
            </w:r>
          </w:p>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2.1.3</w:t>
            </w:r>
          </w:p>
        </w:tc>
        <w:tc>
          <w:tcPr>
            <w:tcW w:w="131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形式评审与响应性评审标准</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第一个信封（商务及技术文件）评审标准：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（1）投标文件按照招标文件规定的格式、内容填写，字迹清晰可辨：</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a.</w:t>
            </w:r>
            <w:r>
              <w:rPr>
                <w:rFonts w:ascii="Times New Roman" w:cs="Times New Roman" w:hAnsi="Times New Roman"/>
                <w:color w:val="000000"/>
                <w:sz w:val="24"/>
                <w:szCs w:val="20"/>
              </w:rPr>
              <w:t>投标函按招标文件规定填报了项目名称、标段号、补遗书编号（如有）、服务期限、工程质量要求及安全目标；</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b.</w:t>
            </w:r>
            <w:r>
              <w:rPr>
                <w:rFonts w:ascii="Times New Roman" w:cs="Times New Roman" w:hAnsi="Times New Roman"/>
                <w:color w:val="000000"/>
                <w:sz w:val="24"/>
                <w:szCs w:val="20"/>
              </w:rPr>
              <w:t>投标文件组成齐全完整，内容均按规定填写。</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（2）投标文件上法定代表人或其委托代理人的签字、投标人的单位章盖章齐全，符合招标文件规定。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（3）投标人按照招标文件的规定提供了投标保证金：</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a.</w:t>
            </w:r>
            <w:r>
              <w:rPr>
                <w:rFonts w:ascii="Times New Roman" w:cs="Times New Roman" w:hAnsi="Times New Roman"/>
                <w:color w:val="000000"/>
                <w:sz w:val="24"/>
                <w:szCs w:val="20"/>
              </w:rPr>
              <w:t>投标保证金金额符合招标文件规定的金额，且投标保证金有效期不少于投标有效期；</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b.</w:t>
            </w:r>
            <w:r>
              <w:rPr>
                <w:rFonts w:ascii="Times New Roman" w:cs="Times New Roman" w:hAnsi="Times New Roman"/>
                <w:color w:val="000000"/>
                <w:sz w:val="24"/>
                <w:szCs w:val="20"/>
              </w:rPr>
              <w:t>若投标保证金采用现金或支票形式提交，投标人应在递交投标文件截止时间之前，将投标保证金由投标人的基本账户转入招标人指定账户；</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c.</w:t>
            </w:r>
            <w:r>
              <w:rPr>
                <w:rFonts w:ascii="Times New Roman" w:cs="Times New Roman" w:hAnsi="Times New Roman"/>
                <w:color w:val="000000"/>
                <w:sz w:val="24"/>
                <w:szCs w:val="20"/>
              </w:rPr>
              <w:t>若投标保证金采用银行保函形式提交，银行保函的格式、开具保函的银行均满足招标文件要求，且在递交投标文件截止时间之前向招标人提交了银行保函原件。</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（4）投标人法定代表人授权委托代理人签署投标文件的，须提交授权委托书。</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（5）</w:t>
            </w:r>
            <w:r>
              <w:rPr>
                <w:rFonts w:ascii="Times New Roman" w:cs="Times New Roman" w:hAnsi="Times New Roman"/>
                <w:color w:val="000000"/>
                <w:sz w:val="24"/>
                <w:szCs w:val="20"/>
              </w:rPr>
              <w:t>投标人法定代表人亲自签署投标文件的，提供了法定代表人身份证明，且法定代表人在法定代表人身份证明上签名。</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（6）投标人未以联合体形式投标。</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（7）同一投标人未提交两个以上不同的投标文件，但招标文件要求提交备选投标的除外。</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（8）投标文件中未出现有关投标报价的内容。</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（9）投标文件载明的招标项目完成期限符合招标文件规定。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（10）投标文件对招标文件的实质性要求和条件作出响应。</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（11）权利义务符合招标文件规定：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a.</w:t>
            </w:r>
            <w:r>
              <w:rPr>
                <w:rFonts w:ascii="Times New Roman" w:cs="Times New Roman" w:hAnsi="Times New Roman"/>
                <w:color w:val="000000"/>
                <w:sz w:val="24"/>
                <w:szCs w:val="20"/>
              </w:rPr>
              <w:t>投标人应接受招标文件规定</w:t>
            </w:r>
            <w:r>
              <w:rPr>
                <w:rFonts w:ascii="Times New Roman" w:cs="Times New Roman" w:hAnsi="Times New Roman"/>
                <w:color w:val="000000"/>
                <w:sz w:val="24"/>
                <w:szCs w:val="20"/>
              </w:rPr>
              <w:t>的风险</w:t>
            </w:r>
            <w:r>
              <w:rPr>
                <w:rFonts w:ascii="Times New Roman" w:cs="Times New Roman" w:hAnsi="Times New Roman"/>
                <w:color w:val="000000"/>
                <w:sz w:val="24"/>
                <w:szCs w:val="20"/>
              </w:rPr>
              <w:t>划分原则，未提出新</w:t>
            </w:r>
            <w:r>
              <w:rPr>
                <w:rFonts w:ascii="Times New Roman" w:cs="Times New Roman" w:hAnsi="Times New Roman"/>
                <w:color w:val="000000"/>
                <w:sz w:val="24"/>
                <w:szCs w:val="20"/>
              </w:rPr>
              <w:t>的风险</w:t>
            </w:r>
            <w:r>
              <w:rPr>
                <w:rFonts w:ascii="Times New Roman" w:cs="Times New Roman" w:hAnsi="Times New Roman"/>
                <w:color w:val="000000"/>
                <w:sz w:val="24"/>
                <w:szCs w:val="20"/>
              </w:rPr>
              <w:t>划分办法；</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b.</w:t>
            </w:r>
            <w:r>
              <w:rPr>
                <w:rFonts w:ascii="Times New Roman" w:cs="Times New Roman" w:hAnsi="Times New Roman"/>
                <w:color w:val="000000"/>
                <w:sz w:val="24"/>
                <w:szCs w:val="20"/>
              </w:rPr>
              <w:t>投标人未增加委托人的责任范围，或减少投标人义务；</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c.</w:t>
            </w:r>
            <w:r>
              <w:rPr>
                <w:rFonts w:ascii="Times New Roman" w:cs="Times New Roman" w:hAnsi="Times New Roman"/>
                <w:color w:val="000000"/>
                <w:sz w:val="24"/>
                <w:szCs w:val="20"/>
              </w:rPr>
              <w:t>投标人未提出不同的支付办法；</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d.</w:t>
            </w:r>
            <w:r>
              <w:rPr>
                <w:rFonts w:ascii="Times New Roman" w:cs="Times New Roman" w:hAnsi="Times New Roman"/>
                <w:color w:val="000000"/>
                <w:sz w:val="24"/>
                <w:szCs w:val="20"/>
              </w:rPr>
              <w:t>投标人对合同纠纷、事故处理办法未提出异议；</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e.</w:t>
            </w:r>
            <w:r>
              <w:rPr>
                <w:rFonts w:ascii="Times New Roman" w:cs="Times New Roman" w:hAnsi="Times New Roman"/>
                <w:color w:val="000000"/>
                <w:sz w:val="24"/>
                <w:szCs w:val="20"/>
              </w:rPr>
              <w:t>投标人在投标活动中无欺诈行为；</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f.</w:t>
            </w:r>
            <w:r>
              <w:rPr>
                <w:rFonts w:ascii="Times New Roman" w:cs="Times New Roman" w:hAnsi="Times New Roman"/>
                <w:color w:val="000000"/>
                <w:sz w:val="24"/>
                <w:szCs w:val="20"/>
              </w:rPr>
              <w:t>投标人未对合同条款有重要保留。</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b/>
                <w:color w:val="000000"/>
                <w:sz w:val="24"/>
                <w:szCs w:val="20"/>
              </w:rPr>
              <w:t>第二个信封（报价文件）评审标准：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（1）投标文件按照招标文件规定的格式、内容填写，字迹清晰可辨，内容齐全完整：</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a.</w:t>
            </w:r>
            <w:r>
              <w:rPr>
                <w:rFonts w:ascii="Times New Roman" w:cs="Times New Roman" w:hAnsi="Times New Roman"/>
                <w:color w:val="000000"/>
                <w:sz w:val="24"/>
                <w:szCs w:val="20"/>
              </w:rPr>
              <w:t>投标函按招标文件规定填报了项目名称、标段号、补遗书编号（如有）、投标价（包括大写金额和小写金额）；</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b.</w:t>
            </w:r>
            <w:r>
              <w:rPr>
                <w:rFonts w:ascii="Times New Roman" w:cs="Times New Roman" w:hAnsi="Times New Roman"/>
                <w:color w:val="000000"/>
                <w:sz w:val="24"/>
                <w:szCs w:val="20"/>
              </w:rPr>
              <w:t>已标价报价清单说明文字与招标文件规定一致，未进行实质性修改和删减；</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c.</w:t>
            </w:r>
            <w:r>
              <w:rPr>
                <w:rFonts w:ascii="Times New Roman" w:cs="Times New Roman" w:hAnsi="Times New Roman"/>
                <w:color w:val="000000"/>
                <w:sz w:val="24"/>
                <w:szCs w:val="20"/>
              </w:rPr>
              <w:t>投标文件组成齐全完整，内容均按规定填写。</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（2）投标文件上法定代表人或其委托代理人的签字、投标人的单位章盖章齐全，符合招标文件规定。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（3）投标报价未超过招标文件设定的最高投标限价。</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（4）投标报价的大写金额能够确定具体数值。</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（5）同一投标人未提交两个以上不同的投标报价，但招标文件要求提交备选投标的除外。</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2.1.2</w:t>
            </w:r>
          </w:p>
        </w:tc>
        <w:tc>
          <w:tcPr>
            <w:tcW w:w="131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资格评审标准</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（1）投标人具备有效的营业执照、组织机构代码证、监理资质证书和基本账户开户许可证</w:t>
            </w:r>
            <w:r>
              <w:rPr>
                <w:rFonts w:ascii="Times New Roman" w:cs="Times New Roman" w:hAnsi="Times New Roman"/>
                <w:color w:val="auto"/>
                <w:sz w:val="24"/>
                <w:szCs w:val="20"/>
                <w:lang w:eastAsia="zh-CN"/>
              </w:rPr>
              <w:t>（</w:t>
            </w:r>
            <w:r>
              <w:rPr>
                <w:rFonts w:ascii="Times New Roman" w:cs="Times New Roman" w:hAnsi="Times New Roman"/>
                <w:color w:val="auto"/>
                <w:sz w:val="24"/>
                <w:szCs w:val="20"/>
                <w:lang w:val="en-US" w:eastAsia="zh-CN"/>
              </w:rPr>
              <w:t>或基本存款账户证明</w:t>
            </w:r>
            <w:r>
              <w:rPr>
                <w:rFonts w:ascii="Times New Roman" w:cs="Times New Roman" w:hAnsi="Times New Roman"/>
                <w:color w:val="auto"/>
                <w:sz w:val="24"/>
                <w:szCs w:val="20"/>
                <w:lang w:eastAsia="zh-CN"/>
              </w:rPr>
              <w:t>）</w:t>
            </w:r>
            <w:r>
              <w:rPr>
                <w:rFonts w:ascii="Times New Roman" w:cs="Times New Roman" w:hAnsi="Times New Roman"/>
                <w:color w:val="000000"/>
                <w:sz w:val="24"/>
                <w:szCs w:val="20"/>
              </w:rPr>
              <w:t>。</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（2）投标人的资质等级符合招标文件规定。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（3）投标人的类似项目业绩符合招标文件规定。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（4）投标人的信誉符合招标文件规定。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（5）投标人的</w:t>
            </w:r>
            <w:r>
              <w:rPr>
                <w:rFonts w:ascii="Times New Roman" w:cs="Times New Roman" w:hAnsi="Times New Roman" w:hint="eastAsia"/>
                <w:color w:val="000000"/>
                <w:sz w:val="24"/>
                <w:szCs w:val="20"/>
                <w:lang w:eastAsia="zh-CN"/>
              </w:rPr>
              <w:t>项目负责人</w:t>
            </w:r>
            <w:r>
              <w:rPr>
                <w:rFonts w:ascii="Times New Roman" w:cs="Times New Roman" w:hAnsi="Times New Roman"/>
                <w:color w:val="000000"/>
                <w:sz w:val="24"/>
                <w:szCs w:val="20"/>
              </w:rPr>
              <w:t>资格、在岗情况符合招标文件规定。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（6）投标人的其他要求符合招标文件规定。</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（7）投标人不存在第二章“投标人须知”第1.4.3项或第1.4.4项规定的任何一种情形。</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2.2.1</w:t>
            </w:r>
          </w:p>
        </w:tc>
        <w:tc>
          <w:tcPr>
            <w:tcW w:w="131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分值构成</w:t>
            </w:r>
          </w:p>
          <w:p>
            <w:pPr>
              <w:keepNext w:val="0"/>
              <w:keepLines w:val="0"/>
              <w:widowControl/>
              <w:suppressLineNumbers w:val="0"/>
              <w:spacing w:before="0" w:beforeAutospacing="0" w:after="0" w:afterAutospacing="0" w:line="360" w:lineRule="auto"/>
              <w:ind w:leftChars="-50" w:left="-105" w:rightChars="-50" w:right="-105"/>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（总分100分）</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第一个信封（商务及技术文件）评分分值构成：</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技术建议书：</w:t>
            </w:r>
            <w:r>
              <w:rPr>
                <w:rFonts w:ascii="Times New Roman" w:eastAsia="宋体" w:cs="Times New Roman" w:hAnsi="Times New Roman" w:hint="eastAsia"/>
                <w:color w:val="000000"/>
                <w:sz w:val="24"/>
                <w:szCs w:val="20"/>
                <w:u w:val="single"/>
                <w:lang w:val="en-US" w:eastAsia="zh-CN"/>
              </w:rPr>
              <w:t>4</w:t>
            </w:r>
            <w:r>
              <w:rPr>
                <w:rFonts w:ascii="Times New Roman" w:cs="Times New Roman" w:hAnsi="Times New Roman" w:hint="eastAsia"/>
                <w:color w:val="000000"/>
                <w:sz w:val="24"/>
                <w:szCs w:val="20"/>
                <w:u w:val="single"/>
                <w:lang w:val="en-US" w:eastAsia="zh-CN"/>
              </w:rPr>
              <w:t>5</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主要人员：</w:t>
            </w:r>
            <w:r>
              <w:rPr>
                <w:rFonts w:ascii="Times New Roman" w:eastAsia="Times New Roman" w:cs="Times New Roman" w:hAnsi="Times New Roman"/>
                <w:color w:val="000000"/>
                <w:sz w:val="24"/>
                <w:szCs w:val="20"/>
                <w:u w:val="single"/>
              </w:rPr>
              <w:t xml:space="preserve"> 2</w:t>
            </w:r>
            <w:r>
              <w:rPr>
                <w:rFonts w:ascii="Times New Roman" w:eastAsia="宋体" w:cs="Times New Roman" w:hAnsi="Times New Roman" w:hint="eastAsia"/>
                <w:color w:val="000000"/>
                <w:sz w:val="24"/>
                <w:szCs w:val="20"/>
                <w:u w:val="single"/>
                <w:lang w:val="en-US" w:eastAsia="zh-CN"/>
              </w:rPr>
              <w:t>0</w:t>
            </w:r>
            <w:r>
              <w:rPr>
                <w:rFonts w:ascii="Times New Roman" w:eastAsia="Times New Roman" w:cs="Times New Roman" w:hAnsi="Times New Roman"/>
                <w:color w:val="000000"/>
                <w:sz w:val="24"/>
                <w:szCs w:val="20"/>
                <w:u w:val="single"/>
              </w:rPr>
              <w:t xml:space="preserve"> </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业绩：</w:t>
            </w:r>
            <w:r>
              <w:rPr>
                <w:rFonts w:ascii="Times New Roman" w:eastAsia="Times New Roman" w:cs="Times New Roman" w:hAnsi="Times New Roman"/>
                <w:color w:val="000000"/>
                <w:sz w:val="24"/>
                <w:szCs w:val="20"/>
                <w:u w:val="single"/>
              </w:rPr>
              <w:t>2</w:t>
            </w:r>
            <w:r>
              <w:rPr>
                <w:rFonts w:ascii="Times New Roman" w:cs="Times New Roman" w:hAnsi="Times New Roman" w:hint="eastAsia"/>
                <w:color w:val="000000"/>
                <w:sz w:val="24"/>
                <w:szCs w:val="20"/>
                <w:u w:val="single"/>
                <w:lang w:val="en-US" w:eastAsia="zh-CN"/>
              </w:rPr>
              <w:t>0</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履约信誉：</w:t>
            </w:r>
            <w:r>
              <w:rPr>
                <w:rFonts w:ascii="Times New Roman" w:eastAsia="Times New Roman" w:cs="Times New Roman" w:hAnsi="Times New Roman"/>
                <w:color w:val="000000"/>
                <w:sz w:val="24"/>
                <w:szCs w:val="20"/>
                <w:u w:val="single"/>
              </w:rPr>
              <w:t xml:space="preserve"> </w:t>
            </w:r>
            <w:r>
              <w:rPr>
                <w:rFonts w:ascii="Times New Roman" w:cs="Times New Roman" w:hAnsi="Times New Roman"/>
                <w:color w:val="000000"/>
                <w:sz w:val="24"/>
                <w:szCs w:val="20"/>
                <w:u w:val="single"/>
              </w:rPr>
              <w:t>5</w:t>
            </w:r>
            <w:r>
              <w:rPr>
                <w:rFonts w:ascii="Times New Roman" w:eastAsia="Times New Roman" w:cs="Times New Roman" w:hAnsi="Times New Roman"/>
                <w:color w:val="000000"/>
                <w:sz w:val="24"/>
                <w:szCs w:val="20"/>
                <w:u w:val="single"/>
              </w:rPr>
              <w:t xml:space="preserve"> </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第二个信封（报价文件）评分分值构成：</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评标价：</w:t>
            </w:r>
            <w:r>
              <w:rPr>
                <w:rFonts w:ascii="Times New Roman" w:eastAsia="Times New Roman" w:cs="Times New Roman" w:hAnsi="Times New Roman"/>
                <w:color w:val="000000"/>
                <w:sz w:val="24"/>
                <w:szCs w:val="20"/>
                <w:u w:val="single"/>
              </w:rPr>
              <w:t xml:space="preserve"> 10</w:t>
            </w:r>
            <w:r>
              <w:rPr>
                <w:rFonts w:ascii="Times New Roman" w:cs="Times New Roman" w:hAnsi="Times New Roman"/>
                <w:color w:val="000000"/>
                <w:sz w:val="24"/>
                <w:szCs w:val="20"/>
              </w:rPr>
              <w:t>分</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2.2.2</w:t>
            </w:r>
          </w:p>
        </w:tc>
        <w:tc>
          <w:tcPr>
            <w:tcW w:w="131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评标基准价计算方法</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评标基准价的计算：</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在开标现场，招标人将当场计算并宣布评标基准价（四舍五入，保留整数）。</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（1）评标价的确定：</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评标价＝投标函文字报价</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（2）评标价平均值的计算（四舍五入，保留整数）：</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（3）评标基准价的确定：</w:t>
            </w:r>
          </w:p>
          <w:p>
            <w:pPr>
              <w:keepNext w:val="0"/>
              <w:keepLines w:val="0"/>
              <w:widowControl/>
              <w:suppressLineNumbers w:val="0"/>
              <w:spacing w:before="0" w:beforeAutospacing="0" w:after="0" w:afterAutospacing="0" w:line="360" w:lineRule="auto"/>
              <w:ind w:left="0" w:right="0" w:firstLineChars="200" w:firstLine="480"/>
              <w:rPr>
                <w:rFonts w:ascii="Times New Roman" w:cs="Times New Roman" w:hAnsi="Times New Roman"/>
                <w:color w:val="000000"/>
                <w:sz w:val="24"/>
                <w:szCs w:val="20"/>
              </w:rPr>
            </w:pPr>
            <w:r>
              <w:rPr>
                <w:rFonts w:ascii="Times New Roman" w:cs="Times New Roman" w:hAnsi="Times New Roman"/>
                <w:color w:val="000000"/>
                <w:sz w:val="24"/>
                <w:szCs w:val="20"/>
              </w:rPr>
              <w:t>将评标价平均值直接作为评标基准价。</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在评标过程中，评标委员会应对招标人计算的评标基准价进行复核，存在计算错误的应予以修正；存在开标一览表投标报价与投标函投标报价不一致的，应以投标函投标报价大写金额为准修正评标基准价（其中未在投标函上填写投标总价的或投标函投标报价超出招标人公布的最高投标限价的或投标函投标报价大写金额无法确定具体数值的，应剔除对应投标人及其投标报价后修正评标基准价）；存在以低于成本报价竞标而被否决的，应剔除对应投标人及其投标报价后修正评标基准价。上述情况应在评标报告中作出说明。除此之外，评标基准价在整个评标期间保持不变，不随任何因素发生变化。</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2.2.3</w:t>
            </w:r>
          </w:p>
        </w:tc>
        <w:tc>
          <w:tcPr>
            <w:tcW w:w="1311" w:type="dxa"/>
            <w:gridSpan w:val="2"/>
            <w:tcBorders>
              <w:top w:val="single" w:sz="4" w:space="0" w:color="auto"/>
              <w:left w:val="nil"/>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Chars="-50" w:left="-105" w:rightChars="-50" w:right="-105"/>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评标价的偏差率计算公式</w:t>
            </w:r>
          </w:p>
        </w:tc>
        <w:tc>
          <w:tcPr>
            <w:tcW w:w="6563" w:type="dxa"/>
            <w:gridSpan w:val="4"/>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偏差率=100% ×（投标人评标价－评标基准价）/评标基准价</w:t>
            </w:r>
          </w:p>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b/>
                <w:color w:val="000000"/>
                <w:sz w:val="24"/>
                <w:szCs w:val="20"/>
              </w:rPr>
            </w:pPr>
            <w:r>
              <w:rPr>
                <w:rFonts w:ascii="Times New Roman" w:cs="Times New Roman" w:hAnsi="Times New Roman"/>
                <w:color w:val="000000"/>
                <w:sz w:val="24"/>
                <w:szCs w:val="20"/>
              </w:rPr>
              <w:t>偏差率保留</w:t>
            </w:r>
            <w:r>
              <w:rPr>
                <w:rFonts w:ascii="Times New Roman" w:eastAsia="Times New Roman" w:cs="Times New Roman" w:hAnsi="Times New Roman"/>
                <w:color w:val="000000"/>
                <w:sz w:val="24"/>
                <w:szCs w:val="20"/>
                <w:u w:val="single"/>
              </w:rPr>
              <w:t xml:space="preserve"> </w:t>
            </w:r>
            <w:r>
              <w:rPr>
                <w:rFonts w:ascii="Times New Roman" w:cs="Times New Roman" w:hAnsi="Times New Roman"/>
                <w:color w:val="000000"/>
                <w:sz w:val="24"/>
                <w:szCs w:val="20"/>
                <w:u w:val="single"/>
                <w:lang w:val="en-US" w:eastAsia="zh-CN"/>
              </w:rPr>
              <w:t>4</w:t>
            </w:r>
            <w:r>
              <w:rPr>
                <w:rFonts w:ascii="Times New Roman" w:eastAsia="Times New Roman" w:cs="Times New Roman" w:hAnsi="Times New Roman"/>
                <w:color w:val="000000"/>
                <w:sz w:val="24"/>
                <w:szCs w:val="20"/>
                <w:u w:val="single"/>
              </w:rPr>
              <w:t xml:space="preserve"> </w:t>
            </w:r>
            <w:r>
              <w:rPr>
                <w:rFonts w:ascii="Times New Roman" w:cs="Times New Roman" w:hAnsi="Times New Roman"/>
                <w:color w:val="000000"/>
                <w:sz w:val="24"/>
                <w:szCs w:val="20"/>
              </w:rPr>
              <w:t>位小数</w:t>
            </w:r>
          </w:p>
        </w:tc>
      </w:tr>
      <w:tr>
        <w:trPr>
          <w:tblHeader/>
        </w:trPr>
        <w:tc>
          <w:tcPr>
            <w:tcW w:w="942"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条款号</w:t>
            </w:r>
          </w:p>
        </w:tc>
        <w:tc>
          <w:tcPr>
            <w:tcW w:w="4188" w:type="dxa"/>
            <w:gridSpan w:val="5"/>
            <w:tcBorders>
              <w:top w:val="single" w:sz="4" w:space="0" w:color="auto"/>
              <w:left w:val="single" w:sz="4" w:space="0" w:color="auto"/>
              <w:bottom w:val="single" w:sz="4" w:space="0" w:color="auto"/>
              <w:right w:val="single" w:sz="4" w:space="0" w:color="auto"/>
            </w:tcBorders>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评分因素与权重分值</w:t>
            </w:r>
            <w:r>
              <w:rPr>
                <w:rFonts w:ascii="Times New Roman" w:cs="Times New Roman" w:hAnsi="Times New Roman"/>
                <w:b/>
                <w:color w:val="000000"/>
                <w:sz w:val="24"/>
                <w:szCs w:val="20"/>
                <w:vertAlign w:val="superscript"/>
              </w:rPr>
              <w:footnoteReference w:id="2"/>
            </w:r>
          </w:p>
        </w:tc>
        <w:tc>
          <w:tcPr>
            <w:tcW w:w="3686"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评分标准</w:t>
            </w:r>
          </w:p>
        </w:tc>
      </w:tr>
      <w:tr>
        <w:trPr>
          <w:tblHeader/>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31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评分因素</w:t>
            </w:r>
          </w:p>
        </w:tc>
        <w:tc>
          <w:tcPr>
            <w:tcW w:w="8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Chars="-50" w:left="-105" w:rightChars="-50" w:right="-105"/>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评分因素权重分值</w:t>
            </w: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各评分因素细分项</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right"/>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分值</w:t>
            </w:r>
          </w:p>
        </w:tc>
        <w:tc>
          <w:tcPr>
            <w:tcW w:w="3686" w:type="dxa"/>
            <w:vMerge/>
            <w:tcBorders>
              <w:top w:val="single" w:sz="4" w:space="0" w:color="auto"/>
              <w:left w:val="single" w:sz="4" w:space="0" w:color="auto"/>
              <w:bottom w:val="single" w:sz="4" w:space="0" w:color="auto"/>
              <w:right w:val="single" w:sz="4" w:space="0" w:color="auto"/>
            </w:tcBorders>
            <w:vAlign w:val="center"/>
          </w:tcPr>
          <w:p/>
        </w:tc>
      </w:tr>
      <w:tr>
        <w:tc>
          <w:tcPr>
            <w:tcW w:w="942"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2.2.4</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1</w:t>
            </w:r>
            <w:r>
              <w:rPr>
                <w:rFonts w:ascii="Times New Roman" w:eastAsia="Times New Roman" w:cs="Times New Roman" w:hAnsi="Times New Roman"/>
                <w:color w:val="000000"/>
                <w:sz w:val="24"/>
                <w:szCs w:val="20"/>
              </w:rPr>
              <w:t>)</w:t>
            </w:r>
          </w:p>
        </w:tc>
        <w:tc>
          <w:tcPr>
            <w:tcW w:w="1311" w:type="dxa"/>
            <w:gridSpan w:val="2"/>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技术建议书</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u w:val="none"/>
              </w:rPr>
            </w:pPr>
            <w:r>
              <w:rPr>
                <w:rFonts w:ascii="Times New Roman" w:eastAsia="宋体" w:cs="Times New Roman" w:hAnsi="Times New Roman" w:hint="eastAsia"/>
                <w:color w:val="000000"/>
                <w:sz w:val="24"/>
                <w:szCs w:val="20"/>
                <w:u w:val="none"/>
                <w:lang w:val="en-US" w:eastAsia="zh-CN"/>
              </w:rPr>
              <w:t>4</w:t>
            </w:r>
            <w:r>
              <w:rPr>
                <w:rFonts w:ascii="Times New Roman" w:cs="Times New Roman" w:hAnsi="Times New Roman" w:hint="eastAsia"/>
                <w:color w:val="000000"/>
                <w:sz w:val="24"/>
                <w:szCs w:val="20"/>
                <w:u w:val="none"/>
                <w:lang w:val="en-US" w:eastAsia="zh-CN"/>
              </w:rPr>
              <w:t>5</w:t>
            </w:r>
            <w:r>
              <w:rPr>
                <w:rFonts w:ascii="Times New Roman" w:cs="Times New Roman" w:hAnsi="Times New Roman"/>
                <w:color w:val="000000"/>
                <w:sz w:val="24"/>
                <w:szCs w:val="20"/>
              </w:rPr>
              <w:t>分</w:t>
            </w: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检测工作方案、程序和措施</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宋体" w:cs="Times New Roman" w:hAnsi="Times New Roman" w:hint="eastAsia"/>
                <w:color w:val="000000"/>
                <w:sz w:val="24"/>
                <w:szCs w:val="20"/>
                <w:u w:val="none"/>
                <w:lang w:val="en-US" w:eastAsia="zh-CN"/>
              </w:rPr>
              <w:t>10</w:t>
            </w:r>
            <w:r>
              <w:rPr>
                <w:rFonts w:ascii="Times New Roman" w:cs="Times New Roman" w:hAnsi="Times New Roman"/>
                <w:color w:val="000000"/>
                <w:sz w:val="24"/>
                <w:szCs w:val="20"/>
              </w:rPr>
              <w:t>分</w:t>
            </w:r>
          </w:p>
        </w:tc>
        <w:tc>
          <w:tcPr>
            <w:tcW w:w="368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jc w:val="left"/>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试验检测方案、程序和措施，合理可行的，得8～10分，较合理可行的，得6～8分，可行性一般，得6分。</w:t>
            </w:r>
          </w:p>
        </w:tc>
      </w:tr>
      <w:tr>
        <w:trPr>
          <w:trHeight w:val="2154"/>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tc>
        <w:tc>
          <w:tcPr>
            <w:tcW w:w="872" w:type="dxa"/>
            <w:vMerge/>
            <w:tcBorders>
              <w:top w:val="single" w:sz="4" w:space="0" w:color="auto"/>
              <w:left w:val="single" w:sz="4" w:space="0" w:color="auto"/>
              <w:bottom w:val="single" w:sz="4" w:space="0" w:color="auto"/>
              <w:right w:val="single" w:sz="4" w:space="0" w:color="auto"/>
            </w:tcBorders>
            <w:vAlign w:val="center"/>
          </w:tcP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主要检测管理制度</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88"/>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10</w:t>
            </w:r>
            <w:r>
              <w:rPr>
                <w:rFonts w:ascii="Times New Roman" w:cs="Times New Roman" w:hAnsi="Times New Roman"/>
                <w:color w:val="000000"/>
                <w:sz w:val="24"/>
                <w:szCs w:val="20"/>
              </w:rPr>
              <w:t>分</w:t>
            </w:r>
          </w:p>
        </w:tc>
        <w:tc>
          <w:tcPr>
            <w:tcW w:w="368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jc w:val="left"/>
              <w:rPr>
                <w:rFonts w:ascii="Times New Roman" w:eastAsia="Times New Roman" w:cs="Times New Roman" w:hAnsi="Times New Roman"/>
                <w:color w:val="000000"/>
                <w:sz w:val="24"/>
                <w:szCs w:val="20"/>
              </w:rPr>
            </w:pPr>
            <w:r>
              <w:rPr>
                <w:rFonts w:ascii="Times New Roman" w:eastAsia="宋体" w:cs="Times New Roman" w:hAnsi="Times New Roman"/>
                <w:color w:val="000000"/>
                <w:sz w:val="24"/>
                <w:szCs w:val="20"/>
                <w:lang w:eastAsia="zh-CN"/>
              </w:rPr>
              <w:t>管理制度的可行性程度：有效可行，得8～10分；基本有效可行，得6～8分；可行性一般，得6分。</w:t>
            </w:r>
          </w:p>
        </w:tc>
      </w:tr>
      <w:tr>
        <w:trPr>
          <w:trHeight w:val="2154"/>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tc>
        <w:tc>
          <w:tcPr>
            <w:tcW w:w="872" w:type="dxa"/>
            <w:vMerge/>
            <w:tcBorders>
              <w:top w:val="single" w:sz="4" w:space="0" w:color="auto"/>
              <w:left w:val="single" w:sz="4" w:space="0" w:color="auto"/>
              <w:bottom w:val="single" w:sz="4" w:space="0" w:color="auto"/>
              <w:right w:val="single" w:sz="4" w:space="0" w:color="auto"/>
            </w:tcBorders>
            <w:vAlign w:val="center"/>
          </w:tcP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cs="Times New Roman" w:hAnsi="Times New Roman"/>
                <w:color w:val="000000"/>
                <w:sz w:val="24"/>
                <w:szCs w:val="20"/>
              </w:rPr>
            </w:pPr>
            <w:r>
              <w:rPr>
                <w:rFonts w:ascii="Times New Roman" w:cs="Times New Roman" w:hAnsi="Times New Roman" w:hint="eastAsia"/>
                <w:color w:val="000000"/>
                <w:sz w:val="24"/>
                <w:szCs w:val="20"/>
                <w:lang w:val="en-US" w:eastAsia="zh-CN"/>
              </w:rPr>
              <w:t>本项目</w:t>
            </w:r>
            <w:r>
              <w:rPr>
                <w:rFonts w:ascii="Times New Roman" w:cs="Times New Roman" w:hAnsi="Times New Roman"/>
                <w:color w:val="000000"/>
                <w:sz w:val="24"/>
                <w:szCs w:val="20"/>
              </w:rPr>
              <w:t>重点与难点分析及对策与解决方法</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88"/>
              <w:jc w:val="center"/>
              <w:rPr>
                <w:rFonts w:ascii="Times New Roman" w:eastAsia="宋体" w:cs="Times New Roman" w:hAnsi="Times New Roman"/>
                <w:color w:val="000000"/>
                <w:sz w:val="24"/>
                <w:szCs w:val="20"/>
                <w:u w:val="none"/>
                <w:lang w:val="en-US" w:eastAsia="zh-CN"/>
              </w:rPr>
            </w:pPr>
            <w:r>
              <w:rPr>
                <w:rFonts w:ascii="Times New Roman" w:eastAsia="宋体" w:cs="Times New Roman" w:hAnsi="Times New Roman" w:hint="eastAsia"/>
                <w:color w:val="000000"/>
                <w:sz w:val="24"/>
                <w:szCs w:val="20"/>
                <w:u w:val="none"/>
                <w:lang w:val="en-US" w:eastAsia="zh-CN"/>
              </w:rPr>
              <w:t>10分</w:t>
            </w:r>
          </w:p>
        </w:tc>
        <w:tc>
          <w:tcPr>
            <w:tcW w:w="368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jc w:val="left"/>
              <w:rPr>
                <w:rFonts w:ascii="Times New Roman" w:eastAsia="宋体" w:cs="Times New Roman" w:hAnsi="Times New Roman"/>
                <w:color w:val="000000"/>
                <w:sz w:val="24"/>
                <w:szCs w:val="20"/>
                <w:lang w:eastAsia="zh-CN"/>
              </w:rPr>
            </w:pPr>
            <w:r>
              <w:rPr>
                <w:rFonts w:ascii="Times New Roman" w:cs="Times New Roman" w:hAnsi="Times New Roman" w:hint="eastAsia"/>
                <w:color w:val="000000"/>
                <w:sz w:val="24"/>
                <w:szCs w:val="20"/>
                <w:lang w:val="en-US" w:eastAsia="zh-CN"/>
              </w:rPr>
              <w:t>本项目</w:t>
            </w:r>
            <w:r>
              <w:rPr>
                <w:rFonts w:ascii="Times New Roman" w:eastAsia="宋体" w:cs="Times New Roman" w:hAnsi="Times New Roman"/>
                <w:color w:val="000000"/>
                <w:sz w:val="24"/>
                <w:szCs w:val="20"/>
                <w:lang w:eastAsia="zh-CN"/>
              </w:rPr>
              <w:t>检测重点、难点问题的把握程度：叙述清晰、合理、全面、具有针对性，得8～10分；较清晰合理、较全面，得6～8分；基本清晰、基本合理、基本全面、基本具有针对性，得6分。</w:t>
            </w:r>
          </w:p>
        </w:tc>
      </w:tr>
      <w:tr>
        <w:trPr>
          <w:trHeight w:val="1713"/>
        </w:trPr>
        <w:tc>
          <w:tcPr>
            <w:tcW w:w="942" w:type="dxa"/>
            <w:vMerge/>
            <w:tcBorders>
              <w:top w:val="single" w:sz="4" w:space="0" w:color="auto"/>
              <w:left w:val="single" w:sz="4" w:space="0" w:color="auto"/>
              <w:bottom w:val="single" w:sz="4" w:space="0" w:color="auto"/>
              <w:right w:val="single" w:sz="4" w:space="0" w:color="auto"/>
            </w:tcBorders>
            <w:vAlign w:val="center"/>
          </w:tc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tc>
        <w:tc>
          <w:tcPr>
            <w:tcW w:w="872" w:type="dxa"/>
            <w:vMerge/>
            <w:tcBorders>
              <w:top w:val="single" w:sz="4" w:space="0" w:color="auto"/>
              <w:left w:val="single" w:sz="4" w:space="0" w:color="auto"/>
              <w:bottom w:val="single" w:sz="4" w:space="0" w:color="auto"/>
              <w:right w:val="single" w:sz="4" w:space="0" w:color="auto"/>
            </w:tcBorders>
            <w:vAlign w:val="center"/>
          </w:tcP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对本工程的建议</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宋体" w:cs="Times New Roman" w:hAnsi="Times New Roman" w:hint="eastAsia"/>
                <w:color w:val="000000"/>
                <w:sz w:val="24"/>
                <w:szCs w:val="20"/>
                <w:u w:val="none"/>
                <w:lang w:val="en-US" w:eastAsia="zh-CN"/>
              </w:rPr>
              <w:t>10</w:t>
            </w:r>
            <w:r>
              <w:rPr>
                <w:rFonts w:ascii="Times New Roman" w:cs="Times New Roman" w:hAnsi="Times New Roman"/>
                <w:color w:val="000000"/>
                <w:sz w:val="24"/>
                <w:szCs w:val="20"/>
              </w:rPr>
              <w:t>分</w:t>
            </w:r>
          </w:p>
        </w:tc>
        <w:tc>
          <w:tcPr>
            <w:tcW w:w="368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对投标人所提建议的合理可行性、可实施性、项目针对性进行评分，很好得</w:t>
            </w:r>
            <w:r>
              <w:rPr>
                <w:rFonts w:ascii="Times New Roman" w:cs="Times New Roman" w:hAnsi="Times New Roman" w:hint="eastAsia"/>
                <w:color w:val="000000"/>
                <w:sz w:val="24"/>
                <w:szCs w:val="20"/>
                <w:lang w:val="en-US" w:eastAsia="zh-CN"/>
              </w:rPr>
              <w:t>8</w:t>
            </w:r>
            <w:r>
              <w:rPr>
                <w:rFonts w:ascii="Times New Roman" w:cs="Times New Roman" w:hAnsi="Times New Roman"/>
                <w:color w:val="000000"/>
                <w:sz w:val="24"/>
                <w:szCs w:val="20"/>
              </w:rPr>
              <w:t>~</w:t>
            </w:r>
            <w:r>
              <w:rPr>
                <w:rFonts w:ascii="Times New Roman" w:cs="Times New Roman" w:hAnsi="Times New Roman" w:hint="eastAsia"/>
                <w:color w:val="000000"/>
                <w:sz w:val="24"/>
                <w:szCs w:val="20"/>
                <w:lang w:val="en-US" w:eastAsia="zh-CN"/>
              </w:rPr>
              <w:t>10</w:t>
            </w:r>
            <w:r>
              <w:rPr>
                <w:rFonts w:ascii="Times New Roman" w:cs="Times New Roman" w:hAnsi="Times New Roman"/>
                <w:color w:val="000000"/>
                <w:sz w:val="24"/>
                <w:szCs w:val="20"/>
              </w:rPr>
              <w:t>分，较好得</w:t>
            </w:r>
            <w:r>
              <w:rPr>
                <w:rFonts w:ascii="Times New Roman" w:cs="Times New Roman" w:hAnsi="Times New Roman" w:hint="eastAsia"/>
                <w:color w:val="000000"/>
                <w:sz w:val="24"/>
                <w:szCs w:val="20"/>
                <w:lang w:val="en-US" w:eastAsia="zh-CN"/>
              </w:rPr>
              <w:t>6</w:t>
            </w:r>
            <w:r>
              <w:rPr>
                <w:rFonts w:ascii="Times New Roman" w:cs="Times New Roman" w:hAnsi="Times New Roman"/>
                <w:color w:val="000000"/>
                <w:sz w:val="24"/>
                <w:szCs w:val="20"/>
              </w:rPr>
              <w:t>~</w:t>
            </w:r>
            <w:r>
              <w:rPr>
                <w:rFonts w:ascii="Times New Roman" w:cs="Times New Roman" w:hAnsi="Times New Roman" w:hint="eastAsia"/>
                <w:color w:val="000000"/>
                <w:sz w:val="24"/>
                <w:szCs w:val="20"/>
                <w:lang w:val="en-US" w:eastAsia="zh-CN"/>
              </w:rPr>
              <w:t>8</w:t>
            </w:r>
            <w:r>
              <w:rPr>
                <w:rFonts w:ascii="Times New Roman" w:cs="Times New Roman" w:hAnsi="Times New Roman"/>
                <w:color w:val="000000"/>
                <w:sz w:val="24"/>
                <w:szCs w:val="20"/>
              </w:rPr>
              <w:t>分，一般得</w:t>
            </w:r>
            <w:r>
              <w:rPr>
                <w:rFonts w:ascii="Times New Roman" w:cs="Times New Roman" w:hAnsi="Times New Roman" w:hint="eastAsia"/>
                <w:color w:val="000000"/>
                <w:sz w:val="24"/>
                <w:szCs w:val="20"/>
                <w:lang w:val="en-US" w:eastAsia="zh-CN"/>
              </w:rPr>
              <w:t>6</w:t>
            </w:r>
            <w:r>
              <w:rPr>
                <w:rFonts w:ascii="Times New Roman" w:cs="Times New Roman" w:hAnsi="Times New Roman"/>
                <w:color w:val="000000"/>
                <w:sz w:val="24"/>
                <w:szCs w:val="20"/>
              </w:rPr>
              <w:t>分。</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Chars="-44" w:left="-92" w:rightChars="-42" w:right="-88"/>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2.2.4</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2</w:t>
            </w:r>
            <w:r>
              <w:rPr>
                <w:rFonts w:ascii="Times New Roman" w:eastAsia="Times New Roman" w:cs="Times New Roman" w:hAnsi="Times New Roman"/>
                <w:color w:val="000000"/>
                <w:sz w:val="24"/>
                <w:szCs w:val="20"/>
              </w:rPr>
              <w:t>)</w:t>
            </w:r>
          </w:p>
        </w:tc>
        <w:tc>
          <w:tcPr>
            <w:tcW w:w="131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主要人员</w:t>
            </w:r>
          </w:p>
        </w:tc>
        <w:tc>
          <w:tcPr>
            <w:tcW w:w="8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right"/>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2</w:t>
            </w:r>
            <w:r>
              <w:rPr>
                <w:rFonts w:ascii="Times New Roman" w:eastAsia="宋体" w:cs="Times New Roman" w:hAnsi="Times New Roman" w:hint="eastAsia"/>
                <w:color w:val="000000"/>
                <w:sz w:val="24"/>
                <w:szCs w:val="20"/>
                <w:u w:val="none"/>
                <w:lang w:val="en-US" w:eastAsia="zh-CN"/>
              </w:rPr>
              <w:t>0</w:t>
            </w:r>
            <w:r>
              <w:rPr>
                <w:rFonts w:ascii="Times New Roman" w:cs="Times New Roman" w:hAnsi="Times New Roman"/>
                <w:color w:val="000000"/>
                <w:sz w:val="24"/>
                <w:szCs w:val="20"/>
              </w:rPr>
              <w:t>分</w:t>
            </w:r>
          </w:p>
        </w:tc>
        <w:tc>
          <w:tcPr>
            <w:tcW w:w="123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hint="eastAsia"/>
                <w:color w:val="000000"/>
                <w:sz w:val="24"/>
                <w:szCs w:val="20"/>
                <w:lang w:eastAsia="zh-CN"/>
              </w:rPr>
              <w:t>项目负责人</w:t>
            </w:r>
            <w:r>
              <w:rPr>
                <w:rFonts w:ascii="Times New Roman" w:cs="Times New Roman" w:hAnsi="Times New Roman"/>
                <w:color w:val="000000"/>
                <w:sz w:val="24"/>
                <w:szCs w:val="20"/>
              </w:rPr>
              <w:t>任职资格与业绩</w:t>
            </w:r>
          </w:p>
        </w:tc>
        <w:tc>
          <w:tcPr>
            <w:tcW w:w="769"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88"/>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2</w:t>
            </w:r>
            <w:r>
              <w:rPr>
                <w:rFonts w:ascii="Times New Roman" w:eastAsia="宋体" w:cs="Times New Roman" w:hAnsi="Times New Roman" w:hint="eastAsia"/>
                <w:color w:val="000000"/>
                <w:sz w:val="24"/>
                <w:szCs w:val="20"/>
                <w:u w:val="none"/>
                <w:lang w:val="en-US" w:eastAsia="zh-CN"/>
              </w:rPr>
              <w:t>0</w:t>
            </w:r>
            <w:r>
              <w:rPr>
                <w:rFonts w:ascii="Times New Roman" w:cs="Times New Roman" w:hAnsi="Times New Roman"/>
                <w:color w:val="000000"/>
                <w:sz w:val="24"/>
                <w:szCs w:val="20"/>
              </w:rPr>
              <w:t>分</w:t>
            </w:r>
          </w:p>
        </w:tc>
        <w:tc>
          <w:tcPr>
            <w:tcW w:w="3686"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宋体" w:cs="Times New Roman" w:hAnsi="Times New Roman"/>
                <w:color w:val="000000"/>
                <w:sz w:val="24"/>
                <w:szCs w:val="20"/>
                <w:lang w:eastAsia="zh-CN"/>
              </w:rPr>
              <w:t>（</w:t>
            </w:r>
            <w:r>
              <w:rPr>
                <w:rFonts w:ascii="Times New Roman" w:eastAsia="宋体" w:cs="Times New Roman" w:hAnsi="Times New Roman"/>
                <w:color w:val="000000"/>
                <w:sz w:val="24"/>
                <w:szCs w:val="20"/>
                <w:lang w:val="en-US" w:eastAsia="zh-CN"/>
              </w:rPr>
              <w:t>1</w:t>
            </w:r>
            <w:r>
              <w:rPr>
                <w:rFonts w:ascii="Times New Roman" w:eastAsia="宋体" w:cs="Times New Roman" w:hAnsi="Times New Roman"/>
                <w:color w:val="000000"/>
                <w:sz w:val="24"/>
                <w:szCs w:val="20"/>
                <w:lang w:eastAsia="zh-CN"/>
              </w:rPr>
              <w:t>）</w:t>
            </w:r>
            <w:r>
              <w:rPr>
                <w:rFonts w:ascii="Times New Roman" w:cs="Times New Roman" w:hAnsi="Times New Roman"/>
                <w:color w:val="auto"/>
                <w:sz w:val="24"/>
                <w:szCs w:val="20"/>
              </w:rPr>
              <w:t>满足资格审查标准得</w:t>
            </w:r>
            <w:r>
              <w:rPr>
                <w:rFonts w:ascii="Times New Roman" w:cs="Times New Roman" w:hAnsi="Times New Roman" w:hint="eastAsia"/>
                <w:color w:val="auto"/>
                <w:sz w:val="24"/>
                <w:szCs w:val="20"/>
                <w:lang w:val="en-US" w:eastAsia="zh-CN"/>
              </w:rPr>
              <w:t>1</w:t>
            </w:r>
            <w:r>
              <w:rPr>
                <w:rFonts w:ascii="Times New Roman" w:cs="Times New Roman" w:hAnsi="Times New Roman" w:hint="eastAsia"/>
                <w:color w:val="000000"/>
                <w:sz w:val="24"/>
                <w:szCs w:val="20"/>
                <w:lang w:val="en-US" w:eastAsia="zh-CN"/>
              </w:rPr>
              <w:t>2</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rPr>
                <w:rFonts w:ascii="Times New Roman" w:cs="Times New Roman" w:hAnsi="Times New Roman"/>
                <w:color w:val="000000"/>
                <w:sz w:val="24"/>
                <w:szCs w:val="20"/>
              </w:rPr>
            </w:pPr>
            <w:r>
              <w:rPr>
                <w:rFonts w:ascii="Times New Roman" w:eastAsia="宋体" w:cs="Times New Roman" w:hAnsi="Times New Roman"/>
                <w:color w:val="000000"/>
                <w:sz w:val="24"/>
                <w:szCs w:val="20"/>
                <w:lang w:eastAsia="zh-CN"/>
              </w:rPr>
              <w:t>（</w:t>
            </w:r>
            <w:r>
              <w:rPr>
                <w:rFonts w:ascii="Times New Roman" w:eastAsia="宋体" w:cs="Times New Roman" w:hAnsi="Times New Roman"/>
                <w:color w:val="000000"/>
                <w:sz w:val="24"/>
                <w:szCs w:val="20"/>
                <w:lang w:val="en-US" w:eastAsia="zh-CN"/>
              </w:rPr>
              <w:t>2</w:t>
            </w:r>
            <w:r>
              <w:rPr>
                <w:rFonts w:ascii="Times New Roman" w:eastAsia="宋体" w:cs="Times New Roman" w:hAnsi="Times New Roman"/>
                <w:color w:val="000000"/>
                <w:sz w:val="24"/>
                <w:szCs w:val="20"/>
                <w:lang w:eastAsia="zh-CN"/>
              </w:rPr>
              <w:t>）</w:t>
            </w:r>
            <w:r>
              <w:rPr>
                <w:rFonts w:ascii="Times New Roman" w:cs="Times New Roman" w:hAnsi="Times New Roman"/>
                <w:color w:val="auto"/>
                <w:sz w:val="24"/>
                <w:szCs w:val="20"/>
              </w:rPr>
              <w:t>在满足资格审查标准的基础上，每</w:t>
            </w:r>
            <w:r>
              <w:rPr>
                <w:rFonts w:ascii="Times New Roman" w:cs="Times New Roman" w:hAnsi="Times New Roman"/>
                <w:color w:val="auto"/>
                <w:sz w:val="24"/>
                <w:szCs w:val="20"/>
                <w:lang w:val="en-US" w:eastAsia="zh-CN"/>
              </w:rPr>
              <w:t>增加</w:t>
            </w:r>
            <w:r>
              <w:rPr>
                <w:rFonts w:ascii="Times New Roman" w:cs="Times New Roman" w:hAnsi="Times New Roman"/>
                <w:color w:val="auto"/>
                <w:sz w:val="24"/>
                <w:szCs w:val="20"/>
              </w:rPr>
              <w:t>1条</w:t>
            </w:r>
            <w:r>
              <w:rPr>
                <w:rFonts w:ascii="Times New Roman" w:cs="Times New Roman" w:hAnsi="Times New Roman" w:hint="eastAsia"/>
                <w:color w:val="auto"/>
                <w:sz w:val="24"/>
                <w:szCs w:val="20"/>
                <w:lang w:val="en-US" w:eastAsia="zh-CN"/>
              </w:rPr>
              <w:t>二</w:t>
            </w:r>
            <w:r>
              <w:rPr>
                <w:rFonts w:ascii="Times New Roman" w:cs="Times New Roman" w:hAnsi="Times New Roman"/>
                <w:color w:val="auto"/>
                <w:sz w:val="24"/>
                <w:szCs w:val="20"/>
              </w:rPr>
              <w:t>级及以上公路试验检测或交工验收质量检测的项目负责人业绩</w:t>
            </w:r>
            <w:r>
              <w:rPr>
                <w:rFonts w:ascii="Times New Roman" w:cs="Times New Roman" w:hAnsi="Times New Roman"/>
                <w:color w:val="000000"/>
                <w:sz w:val="24"/>
                <w:szCs w:val="20"/>
              </w:rPr>
              <w:t>加</w:t>
            </w:r>
            <w:r>
              <w:rPr>
                <w:rFonts w:ascii="Times New Roman" w:cs="Times New Roman" w:hAnsi="Times New Roman" w:hint="eastAsia"/>
                <w:color w:val="000000"/>
                <w:sz w:val="24"/>
                <w:szCs w:val="20"/>
                <w:lang w:val="en-US" w:eastAsia="zh-CN"/>
              </w:rPr>
              <w:t>4</w:t>
            </w:r>
            <w:r>
              <w:rPr>
                <w:rFonts w:ascii="Times New Roman" w:cs="Times New Roman" w:hAnsi="Times New Roman"/>
                <w:color w:val="000000"/>
                <w:sz w:val="24"/>
                <w:szCs w:val="20"/>
              </w:rPr>
              <w:t>分，最多加</w:t>
            </w:r>
            <w:r>
              <w:rPr>
                <w:rFonts w:ascii="Times New Roman" w:cs="Times New Roman" w:hAnsi="Times New Roman" w:hint="eastAsia"/>
                <w:color w:val="000000"/>
                <w:sz w:val="24"/>
                <w:szCs w:val="20"/>
                <w:lang w:val="en-US" w:eastAsia="zh-CN"/>
              </w:rPr>
              <w:t>8</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rPr>
                <w:rFonts w:ascii="Times New Roman" w:eastAsia="宋体" w:cs="Times New Roman" w:hAnsi="Times New Roman"/>
                <w:color w:val="000000"/>
                <w:sz w:val="24"/>
                <w:szCs w:val="20"/>
                <w:lang w:val="en-US" w:eastAsia="zh-CN"/>
              </w:rPr>
            </w:pPr>
            <w:r>
              <w:rPr>
                <w:rFonts w:ascii="Times New Roman" w:cs="Times New Roman" w:hAnsi="Times New Roman"/>
                <w:color w:val="000000"/>
                <w:sz w:val="24"/>
                <w:szCs w:val="20"/>
              </w:rPr>
              <w:t>注：若同一合同段同时包含试验检测及交工验收质量检测工作时，则可同时认定。</w:t>
            </w:r>
          </w:p>
        </w:tc>
      </w:tr>
      <w:tr>
        <w:tc>
          <w:tcPr>
            <w:tcW w:w="94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2.2.4</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3</w:t>
            </w:r>
            <w:r>
              <w:rPr>
                <w:rFonts w:ascii="Times New Roman" w:eastAsia="Times New Roman" w:cs="Times New Roman" w:hAnsi="Times New Roman"/>
                <w:color w:val="000000"/>
                <w:sz w:val="24"/>
                <w:szCs w:val="20"/>
              </w:rPr>
              <w:t>)</w:t>
            </w:r>
          </w:p>
        </w:tc>
        <w:tc>
          <w:tcPr>
            <w:tcW w:w="1311" w:type="dxa"/>
            <w:gridSpan w:val="2"/>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评标价</w:t>
            </w:r>
          </w:p>
        </w:tc>
        <w:tc>
          <w:tcPr>
            <w:tcW w:w="87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spacing w:before="0" w:beforeAutospacing="0" w:after="0" w:afterAutospacing="0" w:line="360" w:lineRule="auto"/>
              <w:ind w:left="0" w:right="0"/>
              <w:jc w:val="right"/>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10</w:t>
            </w:r>
            <w:r>
              <w:rPr>
                <w:rFonts w:ascii="Times New Roman" w:cs="Times New Roman" w:hAnsi="Times New Roman"/>
                <w:color w:val="000000"/>
                <w:sz w:val="24"/>
                <w:szCs w:val="20"/>
              </w:rPr>
              <w:t>分</w:t>
            </w:r>
          </w:p>
        </w:tc>
        <w:tc>
          <w:tcPr>
            <w:tcW w:w="5691" w:type="dxa"/>
            <w:gridSpan w:val="3"/>
            <w:tcBorders>
              <w:top w:val="single" w:sz="4" w:space="0" w:color="auto"/>
              <w:left w:val="single" w:sz="4" w:space="0" w:color="auto"/>
              <w:bottom w:val="single" w:sz="4" w:space="0" w:color="auto"/>
              <w:right w:val="single" w:sz="4" w:space="0" w:color="auto"/>
            </w:tcBorders>
          </w:tcPr>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评标价得分计算公式：</w:t>
            </w:r>
          </w:p>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1</w:t>
            </w:r>
            <w:r>
              <w:rPr>
                <w:rFonts w:ascii="Times New Roman" w:eastAsia="Times New Roman" w:cs="Times New Roman" w:hAnsi="Times New Roman"/>
                <w:color w:val="000000"/>
                <w:sz w:val="24"/>
                <w:szCs w:val="20"/>
              </w:rPr>
              <w:t>)</w:t>
            </w:r>
            <w:r>
              <w:rPr>
                <w:rFonts w:ascii="Times New Roman" w:cs="Times New Roman" w:hAnsi="Times New Roman"/>
                <w:color w:val="000000"/>
                <w:sz w:val="24"/>
                <w:szCs w:val="20"/>
              </w:rPr>
              <w:t>如果投标人的评标价</w:t>
            </w:r>
            <w:r>
              <w:rPr>
                <w:rFonts w:ascii="Times New Roman" w:cs="Times New Roman" w:hAnsi="Times New Roman"/>
                <w:color w:val="000000"/>
                <w:sz w:val="24"/>
                <w:szCs w:val="20"/>
              </w:rPr>
              <w:t>&gt;</w:t>
            </w:r>
            <w:r>
              <w:rPr>
                <w:rFonts w:ascii="Times New Roman" w:cs="Times New Roman" w:hAnsi="Times New Roman"/>
                <w:color w:val="000000"/>
                <w:sz w:val="24"/>
                <w:szCs w:val="20"/>
              </w:rPr>
              <w:t>评标基准价，则评标价得分＝F－偏差率×100× E</w:t>
            </w:r>
            <w:r>
              <w:rPr>
                <w:rFonts w:ascii="Times New Roman" w:eastAsia="Times New Roman" w:cs="Times New Roman" w:hAnsi="Times New Roman"/>
                <w:color w:val="000000"/>
                <w:sz w:val="24"/>
                <w:szCs w:val="20"/>
                <w:vertAlign w:val="subscript"/>
              </w:rPr>
              <w:t>1</w:t>
            </w:r>
            <w:r>
              <w:rPr>
                <w:rFonts w:ascii="Times New Roman" w:cs="Times New Roman" w:hAnsi="Times New Roman"/>
                <w:color w:val="000000"/>
                <w:sz w:val="24"/>
                <w:szCs w:val="20"/>
              </w:rPr>
              <w:t>；</w:t>
            </w:r>
          </w:p>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2</w:t>
            </w:r>
            <w:r>
              <w:rPr>
                <w:rFonts w:ascii="Times New Roman" w:eastAsia="Times New Roman" w:cs="Times New Roman" w:hAnsi="Times New Roman"/>
                <w:color w:val="000000"/>
                <w:sz w:val="24"/>
                <w:szCs w:val="20"/>
              </w:rPr>
              <w:t>)</w:t>
            </w:r>
            <w:r>
              <w:rPr>
                <w:rFonts w:ascii="Times New Roman" w:cs="Times New Roman" w:hAnsi="Times New Roman"/>
                <w:color w:val="000000"/>
                <w:sz w:val="24"/>
                <w:szCs w:val="20"/>
              </w:rPr>
              <w:t>如果投标人的评标价≤评标基准价，则评标价得分＝F＋偏差率× 100× E</w:t>
            </w:r>
            <w:r>
              <w:rPr>
                <w:rFonts w:ascii="Times New Roman" w:eastAsia="Times New Roman" w:cs="Times New Roman" w:hAnsi="Times New Roman"/>
                <w:color w:val="000000"/>
                <w:sz w:val="24"/>
                <w:szCs w:val="20"/>
                <w:vertAlign w:val="subscript"/>
              </w:rPr>
              <w:t>2</w:t>
            </w:r>
            <w:r>
              <w:rPr>
                <w:rFonts w:ascii="Times New Roman" w:cs="Times New Roman" w:hAnsi="Times New Roman"/>
                <w:color w:val="000000"/>
                <w:sz w:val="24"/>
                <w:szCs w:val="20"/>
              </w:rPr>
              <w:t>。</w:t>
            </w:r>
          </w:p>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其中：F是评标价所占的权重分值，E</w:t>
            </w:r>
            <w:r>
              <w:rPr>
                <w:rFonts w:ascii="Times New Roman" w:eastAsia="Times New Roman" w:cs="Times New Roman" w:hAnsi="Times New Roman"/>
                <w:color w:val="000000"/>
                <w:sz w:val="24"/>
                <w:szCs w:val="20"/>
                <w:vertAlign w:val="subscript"/>
              </w:rPr>
              <w:t>1</w:t>
            </w:r>
            <w:r>
              <w:rPr>
                <w:rFonts w:ascii="Times New Roman" w:cs="Times New Roman" w:hAnsi="Times New Roman"/>
                <w:color w:val="000000"/>
                <w:sz w:val="24"/>
                <w:szCs w:val="20"/>
              </w:rPr>
              <w:t>是评标价每高于评标基准价一个百分点的扣分值，E</w:t>
            </w:r>
            <w:r>
              <w:rPr>
                <w:rFonts w:ascii="Times New Roman" w:eastAsia="Times New Roman" w:cs="Times New Roman" w:hAnsi="Times New Roman"/>
                <w:color w:val="000000"/>
                <w:sz w:val="24"/>
                <w:szCs w:val="20"/>
                <w:vertAlign w:val="subscript"/>
              </w:rPr>
              <w:t>2</w:t>
            </w:r>
            <w:r>
              <w:rPr>
                <w:rFonts w:ascii="Times New Roman" w:cs="Times New Roman" w:hAnsi="Times New Roman"/>
                <w:color w:val="000000"/>
                <w:sz w:val="24"/>
                <w:szCs w:val="20"/>
              </w:rPr>
              <w:t>是评标价每低于评标基准价一个百分点的扣分值；</w:t>
            </w:r>
          </w:p>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E1=0.</w:t>
            </w:r>
            <w:r>
              <w:rPr>
                <w:rFonts w:ascii="Times New Roman" w:cs="Times New Roman" w:hAnsi="Times New Roman"/>
                <w:color w:val="000000"/>
                <w:sz w:val="24"/>
                <w:szCs w:val="20"/>
              </w:rPr>
              <w:t>2，</w:t>
            </w:r>
            <w:r>
              <w:rPr>
                <w:rFonts w:ascii="Times New Roman" w:eastAsia="Times New Roman" w:cs="Times New Roman" w:hAnsi="Times New Roman"/>
                <w:color w:val="000000"/>
                <w:sz w:val="24"/>
                <w:szCs w:val="20"/>
              </w:rPr>
              <w:t>E2=0.</w:t>
            </w:r>
            <w:r>
              <w:rPr>
                <w:rFonts w:ascii="Times New Roman" w:cs="Times New Roman" w:hAnsi="Times New Roman"/>
                <w:color w:val="000000"/>
                <w:sz w:val="24"/>
                <w:szCs w:val="20"/>
              </w:rPr>
              <w:t>1，</w:t>
            </w:r>
            <w:r>
              <w:rPr>
                <w:rFonts w:ascii="Times New Roman" w:eastAsia="Times New Roman" w:cs="Times New Roman" w:hAnsi="Times New Roman"/>
                <w:color w:val="000000"/>
                <w:sz w:val="24"/>
                <w:szCs w:val="20"/>
              </w:rPr>
              <w:t>F=10</w:t>
            </w:r>
            <w:r>
              <w:rPr>
                <w:rFonts w:ascii="Times New Roman" w:cs="Times New Roman" w:hAnsi="Times New Roman"/>
                <w:color w:val="000000"/>
                <w:sz w:val="24"/>
                <w:szCs w:val="20"/>
              </w:rPr>
              <w:t>；评标价得分最低为0分。</w:t>
            </w:r>
          </w:p>
        </w:tc>
      </w:tr>
      <w:tr>
        <w:tc>
          <w:tcPr>
            <w:tcW w:w="942" w:type="dxa"/>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条款号</w:t>
            </w:r>
          </w:p>
        </w:tc>
        <w:tc>
          <w:tcPr>
            <w:tcW w:w="1311" w:type="dxa"/>
            <w:gridSpan w:val="2"/>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评分因素</w:t>
            </w:r>
          </w:p>
        </w:tc>
        <w:tc>
          <w:tcPr>
            <w:tcW w:w="872" w:type="dxa"/>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Chars="-50" w:left="-105" w:rightChars="-50" w:right="-105"/>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评分因素权重分值</w:t>
            </w:r>
          </w:p>
        </w:tc>
        <w:tc>
          <w:tcPr>
            <w:tcW w:w="1236" w:type="dxa"/>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各评分因素细分项</w:t>
            </w:r>
          </w:p>
        </w:tc>
        <w:tc>
          <w:tcPr>
            <w:tcW w:w="769" w:type="dxa"/>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b/>
                <w:color w:val="000000"/>
                <w:sz w:val="24"/>
                <w:szCs w:val="20"/>
              </w:rPr>
            </w:pPr>
            <w:r>
              <w:rPr>
                <w:rFonts w:ascii="Times New Roman" w:cs="Times New Roman" w:hAnsi="Times New Roman"/>
                <w:b/>
                <w:color w:val="000000"/>
                <w:sz w:val="24"/>
                <w:szCs w:val="20"/>
              </w:rPr>
              <w:t>分值</w:t>
            </w:r>
          </w:p>
        </w:tc>
        <w:tc>
          <w:tcPr>
            <w:tcW w:w="3686" w:type="dxa"/>
            <w:tcBorders>
              <w:top w:val="single" w:sz="4" w:space="0" w:color="auto"/>
              <w:left w:val="single" w:sz="4" w:space="0" w:color="auto"/>
              <w:bottom w:val="single" w:sz="4" w:space="0" w:color="000000"/>
              <w:right w:val="single" w:sz="4" w:space="0" w:color="auto"/>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b/>
                <w:color w:val="000000"/>
                <w:sz w:val="24"/>
                <w:szCs w:val="20"/>
              </w:rPr>
              <w:t>评分标准</w:t>
            </w:r>
          </w:p>
        </w:tc>
      </w:tr>
      <w:tr>
        <w:tc>
          <w:tcPr>
            <w:tcW w:w="94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2.2.4</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4</w:t>
            </w:r>
            <w:r>
              <w:rPr>
                <w:rFonts w:ascii="Times New Roman" w:eastAsia="Times New Roman" w:cs="Times New Roman" w:hAnsi="Times New Roman"/>
                <w:color w:val="000000"/>
                <w:sz w:val="24"/>
                <w:szCs w:val="20"/>
              </w:rPr>
              <w:t>)</w:t>
            </w:r>
          </w:p>
        </w:tc>
        <w:tc>
          <w:tcPr>
            <w:tcW w:w="65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其他因素</w:t>
            </w:r>
          </w:p>
        </w:tc>
        <w:tc>
          <w:tcPr>
            <w:tcW w:w="6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业绩</w:t>
            </w:r>
          </w:p>
        </w:tc>
        <w:tc>
          <w:tcPr>
            <w:tcW w:w="87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right"/>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2</w:t>
            </w:r>
            <w:r>
              <w:rPr>
                <w:rFonts w:ascii="Times New Roman" w:cs="Times New Roman" w:hAnsi="Times New Roman" w:hint="eastAsia"/>
                <w:color w:val="000000"/>
                <w:sz w:val="24"/>
                <w:szCs w:val="20"/>
                <w:u w:val="none"/>
                <w:lang w:val="en-US" w:eastAsia="zh-CN"/>
              </w:rPr>
              <w:t>0</w:t>
            </w:r>
            <w:r>
              <w:rPr>
                <w:rFonts w:ascii="Times New Roman" w:cs="Times New Roman" w:hAnsi="Times New Roman"/>
                <w:color w:val="000000"/>
                <w:sz w:val="24"/>
                <w:szCs w:val="20"/>
              </w:rPr>
              <w:t>分</w:t>
            </w:r>
          </w:p>
        </w:tc>
        <w:tc>
          <w:tcPr>
            <w:tcW w:w="123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业绩</w:t>
            </w:r>
          </w:p>
        </w:tc>
        <w:tc>
          <w:tcPr>
            <w:tcW w:w="76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u w:val="none"/>
              </w:rPr>
              <w:t>2</w:t>
            </w:r>
            <w:r>
              <w:rPr>
                <w:rFonts w:ascii="Times New Roman" w:cs="Times New Roman" w:hAnsi="Times New Roman" w:hint="eastAsia"/>
                <w:color w:val="000000"/>
                <w:sz w:val="24"/>
                <w:szCs w:val="20"/>
                <w:u w:val="none"/>
                <w:lang w:val="en-US" w:eastAsia="zh-CN"/>
              </w:rPr>
              <w:t>0</w:t>
            </w:r>
            <w:r>
              <w:rPr>
                <w:rFonts w:ascii="Times New Roman" w:cs="Times New Roman" w:hAnsi="Times New Roman"/>
                <w:color w:val="000000"/>
                <w:sz w:val="24"/>
                <w:szCs w:val="20"/>
              </w:rPr>
              <w:t>分</w:t>
            </w:r>
          </w:p>
        </w:tc>
        <w:tc>
          <w:tcPr>
            <w:tcW w:w="368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w:t>
            </w:r>
            <w:r>
              <w:rPr>
                <w:rFonts w:ascii="Times New Roman" w:eastAsia="宋体" w:cs="Times New Roman" w:hAnsi="Times New Roman"/>
                <w:color w:val="000000"/>
                <w:sz w:val="24"/>
                <w:szCs w:val="20"/>
                <w:lang w:val="en-US" w:eastAsia="zh-CN"/>
              </w:rPr>
              <w:t>1</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 xml:space="preserve"> </w:t>
            </w:r>
            <w:r>
              <w:rPr>
                <w:rFonts w:ascii="Times New Roman" w:cs="Times New Roman" w:hAnsi="Times New Roman"/>
                <w:color w:val="auto"/>
                <w:sz w:val="24"/>
                <w:szCs w:val="20"/>
              </w:rPr>
              <w:t>满足资格审查标准得</w:t>
            </w:r>
            <w:r>
              <w:rPr>
                <w:rFonts w:ascii="Times New Roman" w:cs="Times New Roman" w:hAnsi="Times New Roman"/>
                <w:color w:val="000000"/>
                <w:sz w:val="24"/>
                <w:szCs w:val="20"/>
                <w:lang w:val="en-US" w:eastAsia="zh-CN"/>
              </w:rPr>
              <w:t>1</w:t>
            </w:r>
            <w:r>
              <w:rPr>
                <w:rFonts w:ascii="Times New Roman" w:cs="Times New Roman" w:hAnsi="Times New Roman" w:hint="eastAsia"/>
                <w:color w:val="000000"/>
                <w:sz w:val="24"/>
                <w:szCs w:val="20"/>
                <w:lang w:val="en-US" w:eastAsia="zh-CN"/>
              </w:rPr>
              <w:t>2</w:t>
            </w:r>
            <w:r>
              <w:rPr>
                <w:rFonts w:ascii="Times New Roman" w:cs="Times New Roman" w:hAnsi="Times New Roman"/>
                <w:color w:val="000000"/>
                <w:sz w:val="24"/>
                <w:szCs w:val="20"/>
              </w:rPr>
              <w:t>分；</w:t>
            </w:r>
          </w:p>
          <w:p>
            <w:pPr>
              <w:keepNext w:val="0"/>
              <w:keepLines w:val="0"/>
              <w:widowControl/>
              <w:suppressLineNumbers w:val="0"/>
              <w:spacing w:before="0" w:beforeAutospacing="0" w:after="0" w:afterAutospacing="0" w:line="360" w:lineRule="auto"/>
              <w:ind w:left="0" w:right="0"/>
              <w:rPr>
                <w:rFonts w:ascii="Times New Roman" w:eastAsia="宋体" w:cs="Times New Roman" w:hAnsi="Times New Roman"/>
                <w:color w:val="000000"/>
                <w:sz w:val="24"/>
                <w:szCs w:val="20"/>
                <w:lang w:val="en-US" w:eastAsia="zh-CN"/>
              </w:rPr>
            </w:pPr>
            <w:r>
              <w:rPr>
                <w:rFonts w:ascii="Times New Roman" w:eastAsia="Times New Roman" w:cs="Times New Roman" w:hAnsi="Times New Roman"/>
                <w:color w:val="000000"/>
                <w:sz w:val="24"/>
                <w:szCs w:val="20"/>
              </w:rPr>
              <w:t>(</w:t>
            </w:r>
            <w:r>
              <w:rPr>
                <w:rFonts w:ascii="Times New Roman" w:eastAsia="宋体" w:cs="Times New Roman" w:hAnsi="Times New Roman"/>
                <w:color w:val="000000"/>
                <w:sz w:val="24"/>
                <w:szCs w:val="20"/>
                <w:lang w:val="en-US" w:eastAsia="zh-CN"/>
              </w:rPr>
              <w:t>2</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 xml:space="preserve"> </w:t>
            </w:r>
            <w:r>
              <w:rPr>
                <w:rFonts w:ascii="Times New Roman" w:cs="Times New Roman" w:hAnsi="Times New Roman"/>
                <w:color w:val="auto"/>
                <w:sz w:val="24"/>
                <w:szCs w:val="20"/>
              </w:rPr>
              <w:t>在满足资格审查标准的基础上，每</w:t>
            </w:r>
            <w:r>
              <w:rPr>
                <w:rFonts w:ascii="Times New Roman" w:cs="Times New Roman" w:hAnsi="Times New Roman"/>
                <w:color w:val="auto"/>
                <w:sz w:val="24"/>
                <w:szCs w:val="20"/>
                <w:lang w:val="en-US" w:eastAsia="zh-CN"/>
              </w:rPr>
              <w:t>增加</w:t>
            </w:r>
            <w:r>
              <w:rPr>
                <w:rFonts w:ascii="Times New Roman" w:cs="Times New Roman" w:hAnsi="Times New Roman"/>
                <w:color w:val="auto"/>
                <w:sz w:val="24"/>
                <w:szCs w:val="20"/>
              </w:rPr>
              <w:t>1项</w:t>
            </w:r>
            <w:r>
              <w:rPr>
                <w:rFonts w:ascii="Times New Roman" w:cs="Times New Roman" w:hAnsi="Times New Roman"/>
                <w:color w:val="auto"/>
                <w:sz w:val="24"/>
                <w:szCs w:val="20"/>
                <w:lang w:val="en-US" w:eastAsia="zh-CN"/>
              </w:rPr>
              <w:t>符合资格审查条件</w:t>
            </w:r>
            <w:r>
              <w:rPr>
                <w:rFonts w:ascii="Times New Roman" w:cs="Times New Roman" w:hAnsi="Times New Roman"/>
                <w:color w:val="auto"/>
                <w:sz w:val="24"/>
                <w:szCs w:val="20"/>
              </w:rPr>
              <w:t>的</w:t>
            </w:r>
            <w:r>
              <w:rPr>
                <w:rFonts w:ascii="Times New Roman" w:cs="Times New Roman" w:hAnsi="Times New Roman"/>
                <w:color w:val="auto"/>
                <w:sz w:val="24"/>
                <w:szCs w:val="20"/>
                <w:lang w:val="en-US" w:eastAsia="zh-CN"/>
              </w:rPr>
              <w:t>业绩</w:t>
            </w:r>
            <w:r>
              <w:rPr>
                <w:rFonts w:ascii="Times New Roman" w:cs="Times New Roman" w:hAnsi="Times New Roman"/>
                <w:color w:val="000000"/>
                <w:sz w:val="24"/>
                <w:szCs w:val="20"/>
              </w:rPr>
              <w:t>加</w:t>
            </w:r>
            <w:r>
              <w:rPr>
                <w:rFonts w:ascii="Times New Roman" w:cs="Times New Roman" w:hAnsi="Times New Roman" w:hint="eastAsia"/>
                <w:color w:val="000000"/>
                <w:sz w:val="24"/>
                <w:szCs w:val="20"/>
                <w:lang w:val="en-US" w:eastAsia="zh-CN"/>
              </w:rPr>
              <w:t>4</w:t>
            </w:r>
            <w:r>
              <w:rPr>
                <w:rFonts w:ascii="Times New Roman" w:cs="Times New Roman" w:hAnsi="Times New Roman"/>
                <w:color w:val="000000"/>
                <w:sz w:val="24"/>
                <w:szCs w:val="20"/>
              </w:rPr>
              <w:t>分，最高加</w:t>
            </w:r>
            <w:r>
              <w:rPr>
                <w:rFonts w:ascii="Times New Roman" w:cs="Times New Roman" w:hAnsi="Times New Roman" w:hint="eastAsia"/>
                <w:color w:val="000000"/>
                <w:sz w:val="24"/>
                <w:szCs w:val="20"/>
                <w:lang w:val="en-US" w:eastAsia="zh-CN"/>
              </w:rPr>
              <w:t>8</w:t>
            </w:r>
            <w:r>
              <w:rPr>
                <w:rFonts w:ascii="Times New Roman" w:cs="Times New Roman" w:hAnsi="Times New Roman"/>
                <w:color w:val="000000"/>
                <w:sz w:val="24"/>
                <w:szCs w:val="20"/>
              </w:rPr>
              <w:t>分。</w:t>
            </w:r>
          </w:p>
        </w:tc>
      </w:tr>
      <w:tr>
        <w:tc>
          <w:tcPr>
            <w:tcW w:w="94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eastAsia="Times New Roman" w:cs="Times New Roman" w:hAnsi="Times New Roman"/>
                <w:color w:val="000000"/>
                <w:sz w:val="24"/>
                <w:szCs w:val="20"/>
              </w:rPr>
              <w:t>2.2.4</w:t>
            </w:r>
            <w:r>
              <w:rPr>
                <w:rFonts w:ascii="Times New Roman" w:eastAsia="Times New Roman" w:cs="Times New Roman" w:hAnsi="Times New Roman"/>
                <w:color w:val="000000"/>
                <w:sz w:val="24"/>
                <w:szCs w:val="20"/>
              </w:rPr>
              <w:t>(</w:t>
            </w:r>
            <w:r>
              <w:rPr>
                <w:rFonts w:ascii="Times New Roman" w:eastAsia="Times New Roman" w:cs="Times New Roman" w:hAnsi="Times New Roman"/>
                <w:color w:val="000000"/>
                <w:sz w:val="24"/>
                <w:szCs w:val="20"/>
              </w:rPr>
              <w:t>4</w:t>
            </w:r>
            <w:r>
              <w:rPr>
                <w:rFonts w:ascii="Times New Roman" w:eastAsia="Times New Roman" w:cs="Times New Roman" w:hAnsi="Times New Roman"/>
                <w:color w:val="000000"/>
                <w:sz w:val="24"/>
                <w:szCs w:val="20"/>
              </w:rPr>
              <w:t>)</w:t>
            </w:r>
          </w:p>
        </w:tc>
        <w:tc>
          <w:tcPr>
            <w:tcW w:w="65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其他因素</w:t>
            </w:r>
          </w:p>
        </w:tc>
        <w:tc>
          <w:tcPr>
            <w:tcW w:w="65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Chars="-50" w:left="-105" w:rightChars="-50" w:right="-105"/>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履约信誉</w:t>
            </w:r>
          </w:p>
        </w:tc>
        <w:tc>
          <w:tcPr>
            <w:tcW w:w="872"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right"/>
              <w:rPr>
                <w:rFonts w:ascii="Times New Roman" w:eastAsia="Times New Roman" w:cs="Times New Roman" w:hAnsi="Times New Roman"/>
                <w:color w:val="000000"/>
                <w:sz w:val="24"/>
                <w:szCs w:val="20"/>
              </w:rPr>
            </w:pPr>
            <w:r>
              <w:rPr>
                <w:rFonts w:ascii="Times New Roman" w:cs="Times New Roman" w:hAnsi="Times New Roman"/>
                <w:color w:val="000000"/>
                <w:sz w:val="24"/>
                <w:szCs w:val="20"/>
                <w:u w:val="none"/>
              </w:rPr>
              <w:t>5</w:t>
            </w:r>
            <w:r>
              <w:rPr>
                <w:rFonts w:ascii="Times New Roman" w:cs="Times New Roman" w:hAnsi="Times New Roman"/>
                <w:color w:val="000000"/>
                <w:sz w:val="24"/>
                <w:szCs w:val="20"/>
              </w:rPr>
              <w:t>分</w:t>
            </w:r>
          </w:p>
        </w:tc>
        <w:tc>
          <w:tcPr>
            <w:tcW w:w="1236"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jc w:val="center"/>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履约信誉</w:t>
            </w:r>
          </w:p>
        </w:tc>
        <w:tc>
          <w:tcPr>
            <w:tcW w:w="769" w:type="dxa"/>
            <w:tcBorders>
              <w:top w:val="single" w:sz="4" w:space="0" w:color="000000"/>
              <w:left w:val="single" w:sz="4" w:space="0" w:color="000000"/>
              <w:bottom w:val="single" w:sz="4" w:space="0" w:color="000000"/>
              <w:right w:val="single" w:sz="4" w:space="0" w:color="000000"/>
            </w:tcBorders>
            <w:vAlign w:val="center"/>
          </w:tcPr>
          <w:p>
            <w:pPr>
              <w:keepNext w:val="0"/>
              <w:keepLines w:val="0"/>
              <w:widowControl/>
              <w:suppressLineNumbers w:val="0"/>
              <w:spacing w:before="0" w:beforeAutospacing="0" w:after="0" w:afterAutospacing="0" w:line="360" w:lineRule="auto"/>
              <w:ind w:left="0" w:right="0"/>
              <w:rPr>
                <w:rFonts w:ascii="Times New Roman" w:eastAsia="Times New Roman" w:cs="Times New Roman" w:hAnsi="Times New Roman"/>
                <w:color w:val="000000"/>
                <w:sz w:val="24"/>
                <w:szCs w:val="20"/>
              </w:rPr>
            </w:pPr>
            <w:r>
              <w:rPr>
                <w:rFonts w:ascii="Times New Roman" w:cs="Times New Roman" w:hAnsi="Times New Roman"/>
                <w:color w:val="000000"/>
                <w:sz w:val="24"/>
                <w:szCs w:val="20"/>
                <w:u w:val="none"/>
              </w:rPr>
              <w:t>5</w:t>
            </w:r>
            <w:r>
              <w:rPr>
                <w:rFonts w:ascii="Times New Roman" w:cs="Times New Roman" w:hAnsi="Times New Roman"/>
                <w:color w:val="000000"/>
                <w:sz w:val="24"/>
                <w:szCs w:val="20"/>
              </w:rPr>
              <w:t>分</w:t>
            </w:r>
          </w:p>
        </w:tc>
        <w:tc>
          <w:tcPr>
            <w:tcW w:w="3686" w:type="dxa"/>
            <w:tcBorders>
              <w:top w:val="single" w:sz="4" w:space="0" w:color="000000"/>
              <w:left w:val="single" w:sz="4" w:space="0" w:color="000000"/>
              <w:bottom w:val="single" w:sz="4" w:space="0" w:color="000000"/>
              <w:right w:val="single" w:sz="4" w:space="0" w:color="000000"/>
            </w:tcBorders>
          </w:tcPr>
          <w:p>
            <w:pPr>
              <w:keepNext w:val="0"/>
              <w:keepLines w:val="0"/>
              <w:widowControl w:val="0"/>
              <w:suppressLineNumbers w:val="0"/>
              <w:adjustRightInd/>
              <w:spacing w:before="0" w:beforeAutospacing="0" w:after="0" w:afterAutospacing="0" w:line="360" w:lineRule="auto"/>
              <w:ind w:left="0" w:right="0"/>
              <w:textAlignment w:val="auto"/>
              <w:rPr>
                <w:rFonts w:ascii="Times New Roman" w:cs="Times New Roman" w:hAnsi="Times New Roman"/>
                <w:color w:val="auto"/>
                <w:sz w:val="24"/>
                <w:szCs w:val="24"/>
              </w:rPr>
            </w:pPr>
            <w:r>
              <w:rPr>
                <w:rFonts w:ascii="Times New Roman" w:cs="Times New Roman" w:hAnsi="Times New Roman"/>
                <w:color w:val="auto"/>
                <w:sz w:val="24"/>
                <w:szCs w:val="24"/>
              </w:rPr>
              <w:t>投标人在最近一个年度陕西省公路水运工程试验检测信用评价企业信用评价结果评为“AA”得</w:t>
            </w:r>
            <w:r>
              <w:rPr>
                <w:rFonts w:ascii="Times New Roman" w:cs="Times New Roman" w:hAnsi="Times New Roman" w:hint="eastAsia"/>
                <w:color w:val="auto"/>
                <w:sz w:val="24"/>
                <w:szCs w:val="24"/>
                <w:lang w:val="en-US" w:eastAsia="zh-CN"/>
              </w:rPr>
              <w:t>5</w:t>
            </w:r>
            <w:r>
              <w:rPr>
                <w:rFonts w:ascii="Times New Roman" w:cs="Times New Roman" w:hAnsi="Times New Roman"/>
                <w:color w:val="auto"/>
                <w:sz w:val="24"/>
                <w:szCs w:val="24"/>
              </w:rPr>
              <w:t>分；评为“A”得</w:t>
            </w:r>
            <w:r>
              <w:rPr>
                <w:rFonts w:ascii="Times New Roman" w:cs="Times New Roman" w:hAnsi="Times New Roman" w:hint="eastAsia"/>
                <w:color w:val="auto"/>
                <w:sz w:val="24"/>
                <w:szCs w:val="24"/>
                <w:lang w:val="en-US" w:eastAsia="zh-CN"/>
              </w:rPr>
              <w:t>4</w:t>
            </w:r>
            <w:r>
              <w:rPr>
                <w:rFonts w:ascii="Times New Roman" w:cs="Times New Roman" w:hAnsi="Times New Roman"/>
                <w:color w:val="auto"/>
                <w:sz w:val="24"/>
                <w:szCs w:val="24"/>
              </w:rPr>
              <w:t>分；评为“B”得</w:t>
            </w:r>
            <w:r>
              <w:rPr>
                <w:rFonts w:ascii="Times New Roman" w:cs="Times New Roman" w:hAnsi="Times New Roman" w:hint="eastAsia"/>
                <w:color w:val="auto"/>
                <w:sz w:val="24"/>
                <w:szCs w:val="24"/>
                <w:lang w:val="en-US" w:eastAsia="zh-CN"/>
              </w:rPr>
              <w:t>3</w:t>
            </w:r>
            <w:r>
              <w:rPr>
                <w:rFonts w:ascii="Times New Roman" w:cs="Times New Roman" w:hAnsi="Times New Roman"/>
                <w:color w:val="auto"/>
                <w:sz w:val="24"/>
                <w:szCs w:val="24"/>
              </w:rPr>
              <w:t>分，评为“C”得</w:t>
            </w:r>
            <w:r>
              <w:rPr>
                <w:rFonts w:ascii="Times New Roman" w:cs="Times New Roman" w:hAnsi="Times New Roman" w:hint="eastAsia"/>
                <w:color w:val="auto"/>
                <w:sz w:val="24"/>
                <w:szCs w:val="24"/>
                <w:lang w:val="en-US" w:eastAsia="zh-CN"/>
              </w:rPr>
              <w:t>2</w:t>
            </w:r>
            <w:r>
              <w:rPr>
                <w:rFonts w:ascii="Times New Roman" w:cs="Times New Roman" w:hAnsi="Times New Roman"/>
                <w:color w:val="auto"/>
                <w:sz w:val="24"/>
                <w:szCs w:val="24"/>
              </w:rPr>
              <w:t>分。</w:t>
            </w:r>
          </w:p>
          <w:p>
            <w:pPr>
              <w:keepNext w:val="0"/>
              <w:keepLines w:val="0"/>
              <w:widowControl w:val="0"/>
              <w:suppressLineNumbers w:val="0"/>
              <w:adjustRightInd/>
              <w:spacing w:before="0" w:beforeAutospacing="0" w:after="0" w:afterAutospacing="0" w:line="360" w:lineRule="auto"/>
              <w:ind w:left="0" w:right="0"/>
              <w:textAlignment w:val="auto"/>
              <w:rPr>
                <w:rFonts w:ascii="Times New Roman" w:cs="Times New Roman" w:hAnsi="Times New Roman"/>
                <w:color w:val="auto"/>
                <w:sz w:val="24"/>
                <w:szCs w:val="24"/>
              </w:rPr>
            </w:pPr>
            <w:r>
              <w:rPr>
                <w:rFonts w:ascii="Times New Roman" w:cs="Times New Roman" w:hAnsi="Times New Roman"/>
                <w:color w:val="auto"/>
                <w:sz w:val="24"/>
                <w:szCs w:val="24"/>
              </w:rPr>
              <w:t>备注：（1）对具有陕西省交通运输厅202</w:t>
            </w:r>
            <w:r>
              <w:rPr>
                <w:rFonts w:ascii="Times New Roman" w:cs="Times New Roman" w:hAnsi="Times New Roman" w:hint="eastAsia"/>
                <w:color w:val="auto"/>
                <w:sz w:val="24"/>
                <w:szCs w:val="24"/>
                <w:lang w:val="en-US" w:eastAsia="zh-CN"/>
              </w:rPr>
              <w:t>1</w:t>
            </w:r>
            <w:r>
              <w:rPr>
                <w:rFonts w:ascii="Times New Roman" w:cs="Times New Roman" w:hAnsi="Times New Roman"/>
                <w:color w:val="auto"/>
                <w:sz w:val="24"/>
                <w:szCs w:val="24"/>
              </w:rPr>
              <w:t>年度信用评价等级而无202</w:t>
            </w:r>
            <w:r>
              <w:rPr>
                <w:rFonts w:ascii="Times New Roman" w:cs="Times New Roman" w:hAnsi="Times New Roman" w:hint="eastAsia"/>
                <w:color w:val="auto"/>
                <w:sz w:val="24"/>
                <w:szCs w:val="24"/>
                <w:lang w:val="en-US" w:eastAsia="zh-CN"/>
              </w:rPr>
              <w:t>2</w:t>
            </w:r>
            <w:r>
              <w:rPr>
                <w:rFonts w:ascii="Times New Roman" w:cs="Times New Roman" w:hAnsi="Times New Roman"/>
                <w:color w:val="auto"/>
                <w:sz w:val="24"/>
                <w:szCs w:val="24"/>
              </w:rPr>
              <w:t>年度信用评价等级的企业，其202</w:t>
            </w:r>
            <w:r>
              <w:rPr>
                <w:rFonts w:ascii="Times New Roman" w:cs="Times New Roman" w:hAnsi="Times New Roman" w:hint="eastAsia"/>
                <w:color w:val="auto"/>
                <w:sz w:val="24"/>
                <w:szCs w:val="24"/>
                <w:lang w:val="en-US" w:eastAsia="zh-CN"/>
              </w:rPr>
              <w:t>1</w:t>
            </w:r>
            <w:r>
              <w:rPr>
                <w:rFonts w:ascii="Times New Roman" w:cs="Times New Roman" w:hAnsi="Times New Roman"/>
                <w:color w:val="auto"/>
                <w:sz w:val="24"/>
                <w:szCs w:val="24"/>
              </w:rPr>
              <w:t>年度信用评价等级延续1年。</w:t>
            </w:r>
          </w:p>
          <w:p>
            <w:pPr>
              <w:keepNext w:val="0"/>
              <w:keepLines w:val="0"/>
              <w:widowControl w:val="0"/>
              <w:suppressLineNumbers w:val="0"/>
              <w:adjustRightInd/>
              <w:spacing w:before="0" w:beforeAutospacing="0" w:after="0" w:afterAutospacing="0" w:line="360" w:lineRule="auto"/>
              <w:ind w:left="0" w:right="0"/>
              <w:textAlignment w:val="auto"/>
              <w:rPr>
                <w:rFonts w:ascii="Times New Roman" w:eastAsia="宋体" w:cs="Times New Roman" w:hAnsi="Times New Roman" w:hint="eastAsia"/>
                <w:color w:val="000000"/>
                <w:sz w:val="24"/>
                <w:szCs w:val="20"/>
                <w:lang w:val="en-US" w:eastAsia="zh-CN"/>
              </w:rPr>
            </w:pPr>
            <w:r>
              <w:rPr>
                <w:rFonts w:ascii="Times New Roman" w:cs="Times New Roman" w:hAnsi="Times New Roman"/>
                <w:color w:val="auto"/>
                <w:sz w:val="24"/>
                <w:szCs w:val="24"/>
              </w:rPr>
              <w:t>（2）初次进入陕西省的从业企业，按照“公路水运工程质量检测管理信息系统”中综合信用评价等级确定。延续省厅上一年信用评价结果后仍无信用评价结果的，按照202</w:t>
            </w:r>
            <w:r>
              <w:rPr>
                <w:rFonts w:ascii="Times New Roman" w:cs="Times New Roman" w:hAnsi="Times New Roman" w:hint="eastAsia"/>
                <w:color w:val="auto"/>
                <w:sz w:val="24"/>
                <w:szCs w:val="24"/>
                <w:lang w:val="en-US" w:eastAsia="zh-CN"/>
              </w:rPr>
              <w:t>1</w:t>
            </w:r>
            <w:r>
              <w:rPr>
                <w:rFonts w:ascii="Times New Roman" w:cs="Times New Roman" w:hAnsi="Times New Roman"/>
                <w:color w:val="auto"/>
                <w:sz w:val="24"/>
                <w:szCs w:val="24"/>
              </w:rPr>
              <w:t>年“公路水运工程质量检测管理信息系统”综合评价结果对待，但不得高于省厅原评价等级的上一级。无全国综合评价结果的企业，且无不良信用行为，可按A级对待</w:t>
            </w:r>
            <w:r>
              <w:rPr>
                <w:rFonts w:ascii="Times New Roman" w:cs="Times New Roman" w:hAnsi="Times New Roman" w:hint="eastAsia"/>
                <w:color w:val="000000"/>
                <w:sz w:val="24"/>
                <w:szCs w:val="20"/>
                <w:lang w:val="en-US" w:eastAsia="zh-CN"/>
              </w:rPr>
              <w:t>。</w:t>
            </w:r>
          </w:p>
        </w:tc>
      </w:tr>
      <w:tr>
        <w:tc>
          <w:tcPr>
            <w:tcW w:w="8816" w:type="dxa"/>
            <w:gridSpan w:val="7"/>
            <w:tcBorders>
              <w:top w:val="single" w:sz="4" w:space="0" w:color="000000"/>
              <w:left w:val="single" w:sz="4" w:space="0" w:color="auto"/>
              <w:bottom w:val="single" w:sz="4" w:space="0" w:color="auto"/>
              <w:right w:val="single" w:sz="4" w:space="0" w:color="auto"/>
            </w:tcBorders>
          </w:tcPr>
          <w:p>
            <w:pPr>
              <w:keepNext w:val="0"/>
              <w:keepLines w:val="0"/>
              <w:widowControl/>
              <w:suppressLineNumbers w:val="0"/>
              <w:spacing w:before="0" w:beforeAutospacing="0" w:after="0" w:afterAutospacing="0" w:line="360" w:lineRule="auto"/>
              <w:ind w:left="0" w:right="0" w:firstLineChars="200" w:firstLine="48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需要补充的其他内容：</w:t>
            </w:r>
          </w:p>
          <w:p>
            <w:pPr>
              <w:keepNext w:val="0"/>
              <w:keepLines w:val="0"/>
              <w:suppressLineNumbers w:val="0"/>
              <w:spacing w:before="0" w:beforeAutospacing="0" w:after="0" w:afterAutospacing="0" w:line="360" w:lineRule="auto"/>
              <w:ind w:left="0" w:right="0" w:firstLineChars="175" w:firstLine="420"/>
              <w:rPr>
                <w:rFonts w:ascii="Times New Roman" w:eastAsia="Times New Roman" w:cs="Times New Roman" w:hAnsi="Times New Roman"/>
                <w:color w:val="000000"/>
                <w:sz w:val="24"/>
                <w:szCs w:val="20"/>
              </w:rPr>
            </w:pPr>
            <w:r>
              <w:rPr>
                <w:rFonts w:ascii="Times New Roman" w:cs="Times New Roman" w:hAnsi="Times New Roman"/>
                <w:color w:val="000000"/>
                <w:sz w:val="24"/>
                <w:szCs w:val="20"/>
              </w:rPr>
              <w:t>排名第一的中标候选人放弃中标</w:t>
            </w:r>
            <w:r>
              <w:rPr>
                <w:rFonts w:ascii="Times New Roman" w:cs="Times New Roman" w:hAnsi="Times New Roman"/>
                <w:color w:val="000000"/>
                <w:sz w:val="24"/>
                <w:szCs w:val="20"/>
              </w:rPr>
              <w:t>、</w:t>
            </w:r>
            <w:r>
              <w:rPr>
                <w:rFonts w:ascii="Times New Roman" w:cs="Times New Roman" w:hAnsi="Times New Roman"/>
                <w:color w:val="000000"/>
                <w:sz w:val="24"/>
                <w:szCs w:val="20"/>
              </w:rPr>
              <w:t>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pPr>
        <w:pStyle w:val="1"/>
      </w:pPr>
    </w:p>
    <w:sectPr>
      <w:footnote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方正黑体_GBK"/>
    <w:panose1 w:val="02020603050405020304"/>
    <w:charset w:val="86"/>
    <w:family w:val="roman"/>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7A"/>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等线">
    <w:altName w:val="方正黑体_GBK"/>
    <w:panose1 w:val="02010600030101010101"/>
    <w:charset w:val="86"/>
    <w:family w:val="auto"/>
    <w:pitch w:val="variable"/>
    <w:sig w:usb0="A00002BF" w:usb1="38CF7CFA" w:usb2="00000016" w:usb3="00000000" w:csb0="0004000F" w:csb1="00000000"/>
  </w:font>
  <w:font w:name="文泉驿微米黑">
    <w:panose1 w:val="020B0606030804020204"/>
    <w:charset w:val="86"/>
    <w:family w:val="auto"/>
    <w:pitch w:val="variable"/>
    <w:sig w:usb0="E10002EF" w:usb1="6BDFFCFB" w:usb2="00800036" w:usb3="00000000" w:csb0="603E019F" w:csb1="DFD70000"/>
  </w:font>
  <w:font w:name="Calibri">
    <w:altName w:val="DejaVu Sans"/>
    <w:panose1 w:val="020F0502020204030204"/>
    <w:charset w:val="00"/>
    <w:family w:val="swiss"/>
    <w:pitch w:val="variable"/>
    <w:sig w:usb0="E4002EFF" w:usb1="C000247B" w:usb2="00000009" w:usb3="00000000" w:csb0="200001FF" w:csb1="00000000"/>
  </w:font>
</w:fonts>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snapToGrid w:val="0"/>
        <w:spacing w:line="300" w:lineRule="atLeast"/>
        <w:ind w:left="180" w:hangingChars="100" w:hanging="180"/>
      </w:pPr>
      <w:r>
        <w:rPr>
          <w:sz w:val="18"/>
          <w:vertAlign w:val="superscript"/>
        </w:rPr>
        <w:footnoteRef/>
      </w:r>
      <w:r>
        <w:rPr>
          <w:rFonts w:hint="eastAsia"/>
          <w:sz w:val="18"/>
        </w:rPr>
        <w:t>各评分因素（评标价和履约信誉评分项除外）得分一般不得低于其权重分值的</w:t>
      </w:r>
      <w:r>
        <w:rPr>
          <w:rFonts w:eastAsia="Times New Roman" w:hint="eastAsia"/>
          <w:sz w:val="18"/>
        </w:rPr>
        <w:t>60%</w:t>
      </w:r>
      <w:r>
        <w:rPr>
          <w:rFonts w:hint="eastAsia"/>
          <w:sz w:val="18"/>
        </w:rPr>
        <w:t>，且各评分因素得分应以评标委员会各成员的打分平均值确定，评标委员会成员总数为</w:t>
      </w:r>
      <w:r>
        <w:rPr>
          <w:rFonts w:eastAsia="Times New Roman" w:hint="eastAsia"/>
          <w:sz w:val="18"/>
        </w:rPr>
        <w:t>7</w:t>
      </w:r>
      <w:r>
        <w:rPr>
          <w:rFonts w:hint="eastAsia"/>
          <w:sz w:val="18"/>
        </w:rPr>
        <w:t>人及以上时，该平均值以去掉一个最高分和一个最低分后计算。评标委员会成员对某一项评分因素的评分低于权重分值</w:t>
      </w:r>
      <w:r>
        <w:rPr>
          <w:rFonts w:eastAsia="Times New Roman" w:hint="eastAsia"/>
          <w:sz w:val="18"/>
        </w:rPr>
        <w:t>60%</w:t>
      </w:r>
      <w:r>
        <w:rPr>
          <w:rFonts w:hint="eastAsia"/>
          <w:sz w:val="18"/>
        </w:rPr>
        <w:t>的，应在评标报告中作出说明。</w:t>
      </w:r>
    </w:p>
  </w:footnote>
</w:footnote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compatSetting w:name="compatibilityMode" w:uri="http://schemas.microsoft.com/office/word" w:val="14"/>
  </w:compat>
  <w:docVars>
    <w:docVar w:name="commondata" w:val="eyJoZGlkIjoiZTRlZDkyZDgzNTBlNjRiYmI1MjA0Y2Y4YTZlMDE3MTk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等线" w:eastAsia="宋体" w:cs="Times New Roman" w:hAnsi="等线"/>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1"/>
    </w:pPr>
    <w:rPr>
      <w:rFonts w:ascii="Times New Roman" w:eastAsia="宋体" w:hAnsi="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等线"/>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等线" w:eastAsia="宋体" w:cs="Times New Roman" w:hAnsi="等线"/>
      <w:b/>
      <w:bCs/>
      <w:kern w:val="2"/>
      <w:sz w:val="32"/>
      <w:szCs w:val="32"/>
      <w:lang w:val="en-US" w:eastAsia="zh-CN" w:bidi="ar-SA"/>
    </w:rPr>
  </w:style>
  <w:style w:type="character" w:default="1" w:styleId="10">
    <w:name w:val="Default Paragraph Font"/>
    <w:qFormat/>
    <w:autoRedefine/>
  </w:style>
  <w:style w:type="paragraph" w:styleId="15">
    <w:name w:val="Body Text Indent"/>
    <w:qFormat/>
    <w:basedOn w:val="0"/>
    <w:pPr>
      <w:spacing w:line="420" w:lineRule="atLeast"/>
      <w:ind w:firstLine="454"/>
      <w:jc w:val="both"/>
    </w:pPr>
    <w:rPr>
      <w:rFonts w:ascii="Times New Roman" w:hAnsi="Times New Roman"/>
    </w:rPr>
  </w:style>
  <w:style w:type="paragraph" w:styleId="16">
    <w:name w:val="Body Text First Indent 2"/>
    <w:qFormat/>
    <w:basedOn w:val="15"/>
    <w:next w:val="0"/>
    <w:pPr>
      <w:tabs>
        <w:tab w:val="left" w:pos="360"/>
      </w:tabs>
    </w:pPr>
    <w:rPr>
      <w:rFonts w:ascii="Times New Roman" w:hAnsi="Times New Roman"/>
    </w:rPr>
  </w:style>
  <w:style w:type="paragraph" w:styleId="17">
    <w:name w:val="Normal Indent"/>
    <w:qFormat/>
    <w:basedOn w:val="0"/>
    <w:pPr>
      <w:ind w:firstLineChars="200" w:firstLine="200"/>
    </w:pPr>
  </w:style>
  <w:style w:type="paragraph" w:styleId="18">
    <w:name w:val="Body Text"/>
    <w:qFormat/>
    <w:basedOn w:val="0"/>
    <w:autoRedefine/>
    <w:pPr>
      <w:spacing w:after="120" w:afterAutospacing="0"/>
    </w:pPr>
  </w:style>
  <w:style w:type="paragraph" w:styleId="19">
    <w:name w:val="header"/>
    <w:qFormat/>
    <w:basedOn w:val="0"/>
    <w:autoRedefine/>
    <w:pPr>
      <w:tabs>
        <w:tab w:val="center" w:pos="4153"/>
        <w:tab w:val="right" w:pos="8306"/>
      </w:tabs>
      <w:snapToGrid w:val="0"/>
      <w:jc w:val="center"/>
    </w:pPr>
    <w:rPr>
      <w:sz w:val="18"/>
      <w:szCs w:val="18"/>
    </w:rPr>
  </w:style>
  <w:style w:type="paragraph" w:styleId="20">
    <w:name w:val="footnote text"/>
    <w:qFormat/>
    <w:basedOn w:val="0"/>
    <w:pPr>
      <w:adjustRightInd w:val="0"/>
      <w:snapToGrid w:val="0"/>
      <w:spacing w:line="420" w:lineRule="atLeast"/>
      <w:ind w:firstLine="454"/>
      <w:jc w:val="left"/>
      <w:textAlignment w:val="baseline"/>
    </w:pPr>
    <w:rPr>
      <w:kern w:val="0"/>
      <w:sz w:val="18"/>
      <w:szCs w:val="20"/>
    </w:rPr>
  </w:style>
  <w:style w:type="paragraph" w:styleId="21">
    <w:name w:val="Body Text First Indent"/>
    <w:qFormat/>
    <w:basedOn w:val="18"/>
    <w:pPr>
      <w:ind w:firstLineChars="100" w:firstLine="100"/>
    </w:pPr>
  </w:style>
  <w:style w:type="character" w:styleId="22">
    <w:name w:val="footnote reference"/>
    <w:qFormat/>
    <w:rPr>
      <w:vertAlign w:val="superscript"/>
    </w:rPr>
  </w:style>
  <w:style w:type="paragraph" w:styleId="23">
    <w:name w:val="List Paragraph"/>
    <w:qFormat/>
    <w:basedOn w:val="0"/>
    <w:autoRedefine/>
    <w:pPr>
      <w:ind w:firstLineChars="200" w:firstLine="200"/>
    </w:pPr>
    <w:rPr>
      <w:rFonts w:ascii="Calibri" w:hAnsi="Calibri"/>
      <w:szCs w:val="22"/>
    </w:rPr>
  </w:style>
  <w:style w:type="paragraph" w:customStyle="1" w:styleId="24">
    <w:name w:val="Default"/>
    <w:qFormat/>
    <w:autoRedefine/>
    <w:pPr>
      <w:widowControl w:val="0"/>
      <w:autoSpaceDE w:val="0"/>
      <w:autoSpaceDN w:val="0"/>
      <w:adjustRightInd w:val="0"/>
    </w:pPr>
    <w:rPr>
      <w:rFonts w:ascii="宋体" w:eastAsia="等线" w:cs="Times New Roman" w:hAnsi="等线"/>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14F485F-830A-40C4-A332-E45E0D0E5E9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WPS_Yozo_Office9.0.5233.191ZH.S1</Application>
  <Pages>13</Pages>
  <Words>0</Words>
  <Characters>4041</Characters>
  <Lines>0</Lines>
  <Paragraphs>35</Paragraphs>
  <CharactersWithSpaces>5389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zxh</dc:creator>
  <cp:lastModifiedBy>guest</cp:lastModifiedBy>
  <cp:revision>0</cp:revision>
  <dcterms:created xsi:type="dcterms:W3CDTF">2023-09-07T03:41:00Z</dcterms:created>
  <dcterms:modified xsi:type="dcterms:W3CDTF">2024-09-05T11:00:36Z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804DF652351F4BF9BE2373F2F8C3BD9C_12</vt:lpwstr>
  </property>
</Properties>
</file>