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Cs/>
          <w:sz w:val="32"/>
          <w:szCs w:val="32"/>
          <w:lang w:eastAsia="zh-CN"/>
        </w:rPr>
      </w:pPr>
      <w:bookmarkStart w:id="90" w:name="_GoBack"/>
      <w:r>
        <w:rPr>
          <w:rFonts w:hint="eastAsia" w:ascii="仿宋" w:hAnsi="仿宋" w:eastAsia="仿宋" w:cs="仿宋"/>
          <w:bCs/>
          <w:sz w:val="32"/>
          <w:szCs w:val="32"/>
          <w:lang w:eastAsia="zh-CN"/>
        </w:rPr>
        <w:t>安康市2024年普通干线公路安全设施精细化提升工程</w:t>
      </w:r>
    </w:p>
    <w:p>
      <w:pPr>
        <w:jc w:val="center"/>
        <w:rPr>
          <w:rFonts w:hint="eastAsia" w:ascii="仿宋" w:hAnsi="仿宋" w:eastAsia="仿宋" w:cs="仿宋"/>
          <w:bCs/>
          <w:sz w:val="32"/>
          <w:szCs w:val="32"/>
        </w:rPr>
      </w:pPr>
      <w:r>
        <w:rPr>
          <w:rFonts w:hint="eastAsia" w:ascii="仿宋" w:hAnsi="仿宋" w:eastAsia="仿宋" w:cs="仿宋"/>
          <w:bCs/>
          <w:sz w:val="32"/>
          <w:szCs w:val="32"/>
          <w:lang w:eastAsia="zh-CN"/>
        </w:rPr>
        <w:t>招标</w:t>
      </w:r>
      <w:r>
        <w:rPr>
          <w:rFonts w:hint="eastAsia" w:ascii="仿宋" w:hAnsi="仿宋" w:eastAsia="仿宋" w:cs="仿宋"/>
          <w:bCs/>
          <w:sz w:val="32"/>
          <w:szCs w:val="32"/>
          <w:lang w:val="en-US" w:eastAsia="zh-CN"/>
        </w:rPr>
        <w:t>文件</w:t>
      </w:r>
      <w:r>
        <w:rPr>
          <w:rFonts w:hint="eastAsia" w:ascii="仿宋" w:hAnsi="仿宋" w:eastAsia="仿宋" w:cs="仿宋"/>
          <w:bCs/>
          <w:sz w:val="32"/>
          <w:szCs w:val="32"/>
          <w:lang w:eastAsia="zh-CN"/>
        </w:rPr>
        <w:t>关键</w:t>
      </w:r>
      <w:r>
        <w:rPr>
          <w:rFonts w:hint="eastAsia" w:ascii="仿宋" w:hAnsi="仿宋" w:eastAsia="仿宋" w:cs="仿宋"/>
          <w:bCs/>
          <w:sz w:val="32"/>
          <w:szCs w:val="32"/>
          <w:lang w:val="en-US" w:eastAsia="zh-CN"/>
        </w:rPr>
        <w:t>性</w:t>
      </w:r>
      <w:r>
        <w:rPr>
          <w:rFonts w:hint="eastAsia" w:ascii="仿宋" w:hAnsi="仿宋" w:eastAsia="仿宋" w:cs="仿宋"/>
          <w:bCs/>
          <w:sz w:val="32"/>
          <w:szCs w:val="32"/>
          <w:lang w:eastAsia="zh-CN"/>
        </w:rPr>
        <w:t>内容</w:t>
      </w:r>
    </w:p>
    <w:bookmarkEnd w:id="90"/>
    <w:p>
      <w:pPr>
        <w:pStyle w:val="3"/>
        <w:spacing w:beforeLines="50" w:after="120" w:line="264" w:lineRule="auto"/>
        <w:rPr>
          <w:rFonts w:hint="eastAsia" w:ascii="仿宋" w:hAnsi="仿宋" w:eastAsia="仿宋" w:cs="仿宋"/>
        </w:rPr>
      </w:pPr>
      <w:bookmarkStart w:id="0" w:name="_Toc129166475"/>
      <w:bookmarkStart w:id="1" w:name="_Toc234382570"/>
      <w:r>
        <w:rPr>
          <w:rFonts w:hint="eastAsia" w:ascii="仿宋" w:hAnsi="仿宋" w:eastAsia="仿宋" w:cs="仿宋"/>
        </w:rPr>
        <w:t>1.招标条件</w:t>
      </w:r>
      <w:bookmarkEnd w:id="0"/>
      <w:bookmarkEnd w:id="1"/>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本招标项目</w:t>
      </w:r>
      <w:r>
        <w:rPr>
          <w:rFonts w:hint="eastAsia" w:ascii="仿宋" w:hAnsi="仿宋" w:eastAsia="仿宋" w:cs="仿宋"/>
          <w:sz w:val="24"/>
          <w:lang w:eastAsia="zh-CN"/>
        </w:rPr>
        <w:t>安康市2024年普通干线公路安全设施精细化提升工程</w:t>
      </w:r>
      <w:r>
        <w:rPr>
          <w:rFonts w:hint="eastAsia" w:ascii="仿宋" w:hAnsi="仿宋" w:eastAsia="仿宋" w:cs="仿宋"/>
          <w:sz w:val="24"/>
        </w:rPr>
        <w:t>已由陕西省公路局《关于安康市2024年346国道公路安全设施精细化提升工程施工图设计及预算的批复》（陕公路函〔2023〕168号）、《关于安康市2024年541国道公路安全设施精细化提升工程施工图设计及预算的批复》（陕公路函〔2023〕169号）</w:t>
      </w:r>
      <w:r>
        <w:rPr>
          <w:rFonts w:hint="eastAsia" w:ascii="仿宋" w:hAnsi="仿宋" w:eastAsia="仿宋" w:cs="仿宋"/>
          <w:sz w:val="24"/>
          <w:lang w:eastAsia="zh-CN"/>
        </w:rPr>
        <w:t>、</w:t>
      </w:r>
      <w:r>
        <w:rPr>
          <w:rFonts w:hint="eastAsia" w:ascii="仿宋" w:hAnsi="仿宋" w:eastAsia="仿宋" w:cs="仿宋"/>
          <w:sz w:val="24"/>
        </w:rPr>
        <w:t>《关于安康市2024年102省道公路安全设施精细化提升工程施工图设计及预算的批复》（陕公路函〔2023〕202号）文件批准建设，招标人及项目业主为安康市公路局，建设资金来自上级</w:t>
      </w:r>
      <w:r>
        <w:rPr>
          <w:rFonts w:hint="eastAsia" w:ascii="仿宋" w:hAnsi="仿宋" w:cs="仿宋"/>
          <w:sz w:val="24"/>
          <w:lang w:eastAsia="zh-CN"/>
        </w:rPr>
        <w:t>拨</w:t>
      </w:r>
      <w:r>
        <w:rPr>
          <w:rFonts w:hint="eastAsia" w:ascii="仿宋" w:hAnsi="仿宋" w:eastAsia="仿宋" w:cs="仿宋"/>
          <w:sz w:val="24"/>
        </w:rPr>
        <w:t>款。项目已具备招标条件，现对该项目的施工进行公开招标。</w:t>
      </w:r>
    </w:p>
    <w:p>
      <w:pPr>
        <w:pStyle w:val="3"/>
        <w:spacing w:beforeLines="50" w:after="120" w:line="264" w:lineRule="auto"/>
        <w:rPr>
          <w:rFonts w:hint="eastAsia" w:ascii="仿宋" w:hAnsi="仿宋" w:eastAsia="仿宋" w:cs="仿宋"/>
        </w:rPr>
      </w:pPr>
      <w:bookmarkStart w:id="2" w:name="_Toc234382571"/>
      <w:bookmarkStart w:id="3" w:name="_Toc129166476"/>
      <w:r>
        <w:rPr>
          <w:rFonts w:hint="eastAsia" w:ascii="仿宋" w:hAnsi="仿宋" w:eastAsia="仿宋" w:cs="仿宋"/>
        </w:rPr>
        <w:t>2.项目概况与招标范围</w:t>
      </w:r>
      <w:bookmarkEnd w:id="2"/>
      <w:bookmarkEnd w:id="3"/>
    </w:p>
    <w:p>
      <w:pPr>
        <w:pStyle w:val="5"/>
        <w:spacing w:line="360" w:lineRule="auto"/>
        <w:ind w:firstLine="480" w:firstLineChars="200"/>
        <w:rPr>
          <w:rFonts w:hint="default" w:ascii="仿宋" w:hAnsi="仿宋" w:eastAsia="仿宋" w:cs="仿宋"/>
          <w:color w:val="auto"/>
          <w:sz w:val="24"/>
          <w:szCs w:val="24"/>
          <w:lang w:val="en-US" w:eastAsia="zh-CN"/>
        </w:rPr>
      </w:pPr>
      <w:r>
        <w:rPr>
          <w:rFonts w:hint="eastAsia" w:ascii="仿宋" w:hAnsi="仿宋" w:cs="仿宋"/>
          <w:color w:val="auto"/>
          <w:sz w:val="24"/>
          <w:szCs w:val="24"/>
          <w:lang w:val="en-US" w:eastAsia="zh-CN"/>
        </w:rPr>
        <w:t>2.1项目预算：约4203400.00元</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cs="仿宋"/>
          <w:color w:val="auto"/>
          <w:sz w:val="24"/>
          <w:szCs w:val="24"/>
          <w:lang w:val="en-US" w:eastAsia="zh-CN"/>
        </w:rPr>
        <w:t>2</w:t>
      </w:r>
      <w:r>
        <w:rPr>
          <w:rFonts w:hint="eastAsia" w:ascii="仿宋" w:hAnsi="仿宋" w:eastAsia="仿宋" w:cs="仿宋"/>
          <w:color w:val="auto"/>
          <w:sz w:val="24"/>
          <w:szCs w:val="24"/>
        </w:rPr>
        <w:t>项目概况</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安康市2024年普通干线公路安全设施精细化提升工程（以下简称“本项目”）项目概况:本项目涉及G346线、G541线和S102线三条线路，其中G346线需提升路段为K1612+543-K1677+700、K1677+700-K1695+300、K1697+650-K1698+800，总长83.907km，二级公路为主，设计速度为60km/h，路基宽度9m-10m不等，山区路段为主，技术指标较高。G541线需提升路段为KO+000-K35+123 石泉段、K35+123-K51+505汉阴段、K51+505―K122+500紫阳段、K122+500-K250+700岚皋段、K250+700-K309+720镇坪段，其中K162+300-K162+625为G211共线段、K189+280-K222+450为三改二工程段，K223+660-K250+700和K250+700-K258+920为路面改造工程段不计入此次排查范围，总长240.971km，主要为三级公路，设计速度分别为30km/h、60km/h，路基宽度7.5m-10m不等，以山区路段为主，技术指标较低。省道102安康段需提升路段主要涉及旬阳市、平利县及镇坪县，具体段落为K275+062-K280+111、K360+755-K401+000、K401+000-K467+718，排查总长112.012km。路段内主要为二级公路，设计速度为30km/h、60km/h，路基宽度8.5m-10m不等，本路段以平原路段为主，技术指标较高。</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经排查，上述路段主要存在交通标志缺失、标线磨损严重、道口标柱缺失、路权优先级未划分、视距不良等情况，需整治提升。</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2.2主要工程内容</w:t>
      </w:r>
    </w:p>
    <w:p>
      <w:pPr>
        <w:pStyle w:val="5"/>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G346线</w:t>
      </w:r>
      <w:r>
        <w:rPr>
          <w:rFonts w:hint="eastAsia" w:ascii="仿宋" w:hAnsi="仿宋" w:eastAsia="仿宋" w:cs="仿宋"/>
          <w:color w:val="auto"/>
          <w:sz w:val="24"/>
          <w:szCs w:val="24"/>
        </w:rPr>
        <w:t>主要内容</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单柱式标志174套，改移单柱式标志1套，移除注意行人标志2套，更换标志版面1套，单悬臂标志17个，热熔标线2272.79m,减速振动标线180m，铲除标线946.24m，双层线形诱导标64套，道口标柱132个，凸面镜1个，弯道预警系统2套</w:t>
      </w:r>
      <w:r>
        <w:rPr>
          <w:rFonts w:hint="eastAsia" w:ascii="仿宋" w:hAnsi="仿宋" w:eastAsia="仿宋" w:cs="仿宋"/>
          <w:color w:val="auto"/>
          <w:sz w:val="24"/>
          <w:szCs w:val="24"/>
          <w:lang w:eastAsia="zh-CN"/>
        </w:rPr>
        <w:t>；</w:t>
      </w:r>
    </w:p>
    <w:p>
      <w:pPr>
        <w:pStyle w:val="5"/>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G541线</w:t>
      </w:r>
      <w:r>
        <w:rPr>
          <w:rFonts w:hint="eastAsia" w:ascii="仿宋" w:hAnsi="仿宋" w:eastAsia="仿宋" w:cs="仿宋"/>
          <w:color w:val="auto"/>
          <w:sz w:val="24"/>
          <w:szCs w:val="24"/>
        </w:rPr>
        <w:t>主要内容</w:t>
      </w:r>
      <w:r>
        <w:rPr>
          <w:rFonts w:hint="eastAsia" w:ascii="仿宋" w:hAnsi="仿宋" w:eastAsia="仿宋" w:cs="仿宋"/>
          <w:color w:val="auto"/>
          <w:sz w:val="24"/>
          <w:szCs w:val="24"/>
          <w:lang w:eastAsia="zh-CN"/>
        </w:rPr>
        <w:t>：（一）事故多发路段：平交口预警系统3套，单柱式标志2套，热熔标线147.86m，</w:t>
      </w:r>
      <w:r>
        <w:rPr>
          <w:rFonts w:hint="eastAsia" w:ascii="仿宋" w:hAnsi="仿宋" w:eastAsia="仿宋" w:cs="仿宋"/>
          <w:color w:val="auto"/>
          <w:sz w:val="24"/>
          <w:szCs w:val="24"/>
          <w:lang w:val="en-US" w:eastAsia="zh-CN"/>
        </w:rPr>
        <w:t>铲除标线114.93m，减速带14.4m，砼护栏拆除0.8m，波形梁护</w:t>
      </w:r>
      <w:r>
        <w:rPr>
          <w:rFonts w:hint="eastAsia" w:ascii="仿宋" w:hAnsi="仿宋" w:eastAsia="仿宋" w:cs="仿宋"/>
          <w:color w:val="auto"/>
          <w:sz w:val="24"/>
          <w:szCs w:val="24"/>
          <w:lang w:eastAsia="zh-CN"/>
        </w:rPr>
        <w:t>栏拆除8m，A级加强型波形梁护栏13m，附着式轮廓标1个。（二）一般路段：单柱式标志161个，单悬臂标志 13个，热熔标线1329.91m，减速振动标线693m，铲除标线444.4m，双层线形诱导标153套，道口标198个，凸面镜1个，弯道来车预警系统12套，A级波形梁护栏3873m，附着式轮廓标200个；</w:t>
      </w:r>
    </w:p>
    <w:p>
      <w:pPr>
        <w:pStyle w:val="5"/>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S102线主要内容：（一）事故多发路段：单柱式标志2个，热熔标线8.8m，铲除标线4.4m，两块T2型标志更改为一块十字标志（更换交叉口警告标志版面）1处。（二）一般路段：单柱式标志104个，单悬臂标志4套，更换急弯标志版面1处，拆除减速让行标志1处，热熔标线2036.2m，减速振动标线2306.0m，铲除标线1036.5m，双层线形诱导标28套，道口标柱104个，凸面镜1块。</w:t>
      </w:r>
    </w:p>
    <w:p>
      <w:pPr>
        <w:pStyle w:val="5"/>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2.3 计划工期：本工程工期4个月，缺陷责任期6个月。</w:t>
      </w:r>
    </w:p>
    <w:p>
      <w:pPr>
        <w:pStyle w:val="3"/>
        <w:spacing w:beforeLines="50" w:after="120" w:line="264" w:lineRule="auto"/>
        <w:rPr>
          <w:rFonts w:hint="eastAsia" w:ascii="仿宋" w:hAnsi="仿宋" w:eastAsia="仿宋" w:cs="仿宋"/>
        </w:rPr>
      </w:pPr>
      <w:bookmarkStart w:id="4" w:name="_Toc129166477"/>
      <w:bookmarkStart w:id="5" w:name="_Toc234382572"/>
      <w:r>
        <w:rPr>
          <w:rFonts w:hint="eastAsia" w:ascii="仿宋" w:hAnsi="仿宋" w:eastAsia="仿宋" w:cs="仿宋"/>
        </w:rPr>
        <w:t>3.投标人资格要求</w:t>
      </w:r>
      <w:bookmarkEnd w:id="4"/>
      <w:bookmarkEnd w:id="5"/>
    </w:p>
    <w:p>
      <w:pPr>
        <w:spacing w:line="360" w:lineRule="auto"/>
        <w:ind w:firstLine="480" w:firstLineChars="200"/>
        <w:rPr>
          <w:rFonts w:hint="eastAsia" w:ascii="仿宋" w:hAnsi="仿宋" w:eastAsia="仿宋" w:cs="仿宋"/>
          <w:sz w:val="24"/>
          <w:szCs w:val="24"/>
        </w:rPr>
      </w:pPr>
      <w:r>
        <w:rPr>
          <w:rFonts w:hint="eastAsia" w:ascii="仿宋" w:hAnsi="仿宋" w:cs="仿宋"/>
          <w:sz w:val="24"/>
          <w:lang w:val="en-US" w:eastAsia="zh-CN"/>
        </w:rPr>
        <w:t>3.1</w:t>
      </w:r>
      <w:r>
        <w:rPr>
          <w:rFonts w:hint="eastAsia" w:ascii="仿宋" w:hAnsi="仿宋" w:eastAsia="仿宋" w:cs="仿宋"/>
          <w:sz w:val="24"/>
        </w:rPr>
        <w:t>投标人具有独立法人资格，持有工商行政管理部门核发的企业法人营业执照；</w:t>
      </w:r>
      <w:r>
        <w:rPr>
          <w:rFonts w:hint="eastAsia" w:ascii="仿宋" w:hAnsi="仿宋" w:eastAsia="仿宋" w:cs="仿宋"/>
          <w:sz w:val="24"/>
          <w:szCs w:val="24"/>
        </w:rPr>
        <w:t>具有省级交通运输部门核发的公路养护工程施工从业二类乙级及以上资质</w:t>
      </w:r>
      <w:r>
        <w:rPr>
          <w:rFonts w:hint="eastAsia" w:ascii="仿宋" w:hAnsi="仿宋" w:eastAsia="仿宋" w:cs="仿宋"/>
          <w:b/>
          <w:bCs/>
          <w:sz w:val="24"/>
          <w:szCs w:val="24"/>
        </w:rPr>
        <w:t>或</w:t>
      </w:r>
      <w:r>
        <w:rPr>
          <w:rFonts w:hint="eastAsia" w:ascii="仿宋" w:hAnsi="仿宋" w:eastAsia="仿宋" w:cs="仿宋"/>
          <w:sz w:val="24"/>
          <w:szCs w:val="24"/>
        </w:rPr>
        <w:t>交通安全设施养护资质，</w:t>
      </w:r>
      <w:r>
        <w:rPr>
          <w:rFonts w:hint="eastAsia" w:ascii="仿宋" w:hAnsi="仿宋" w:eastAsia="仿宋" w:cs="仿宋"/>
          <w:b/>
          <w:bCs/>
          <w:sz w:val="24"/>
          <w:szCs w:val="24"/>
        </w:rPr>
        <w:t>或</w:t>
      </w:r>
      <w:r>
        <w:rPr>
          <w:rFonts w:hint="eastAsia" w:ascii="仿宋" w:hAnsi="仿宋" w:eastAsia="仿宋" w:cs="仿宋"/>
          <w:sz w:val="24"/>
          <w:szCs w:val="24"/>
        </w:rPr>
        <w:t>公路交通工程专业承包（公路安全设施）二级及以上资质；</w:t>
      </w:r>
    </w:p>
    <w:p>
      <w:pPr>
        <w:spacing w:line="360" w:lineRule="auto"/>
        <w:ind w:firstLine="480" w:firstLineChars="200"/>
        <w:rPr>
          <w:rFonts w:hint="eastAsia" w:ascii="仿宋" w:hAnsi="仿宋" w:eastAsia="仿宋" w:cs="仿宋"/>
          <w:sz w:val="24"/>
        </w:rPr>
      </w:pPr>
      <w:r>
        <w:rPr>
          <w:rFonts w:hint="eastAsia" w:ascii="仿宋" w:hAnsi="仿宋" w:cs="仿宋"/>
          <w:sz w:val="24"/>
          <w:szCs w:val="24"/>
          <w:lang w:val="en-US" w:eastAsia="zh-CN"/>
        </w:rPr>
        <w:t>3.2具有</w:t>
      </w:r>
      <w:r>
        <w:rPr>
          <w:rFonts w:hint="eastAsia" w:ascii="仿宋" w:hAnsi="仿宋" w:eastAsia="仿宋" w:cs="仿宋"/>
          <w:sz w:val="24"/>
        </w:rPr>
        <w:t>有效</w:t>
      </w:r>
      <w:r>
        <w:rPr>
          <w:rFonts w:hint="eastAsia" w:ascii="仿宋" w:hAnsi="仿宋" w:cs="仿宋"/>
          <w:sz w:val="24"/>
          <w:lang w:val="en-US" w:eastAsia="zh-CN"/>
        </w:rPr>
        <w:t>的</w:t>
      </w:r>
      <w:r>
        <w:rPr>
          <w:rFonts w:hint="eastAsia" w:ascii="仿宋" w:hAnsi="仿宋" w:eastAsia="仿宋" w:cs="仿宋"/>
          <w:sz w:val="24"/>
        </w:rPr>
        <w:t>企业安全生产许可证；</w:t>
      </w:r>
    </w:p>
    <w:p>
      <w:pPr>
        <w:spacing w:line="360" w:lineRule="auto"/>
        <w:ind w:firstLine="480" w:firstLineChars="200"/>
        <w:rPr>
          <w:rFonts w:hint="eastAsia" w:ascii="仿宋" w:hAnsi="仿宋" w:cs="仿宋"/>
          <w:sz w:val="24"/>
          <w:lang w:eastAsia="zh-CN"/>
        </w:rPr>
      </w:pPr>
      <w:r>
        <w:rPr>
          <w:rFonts w:hint="eastAsia" w:ascii="仿宋" w:hAnsi="仿宋" w:cs="仿宋"/>
          <w:sz w:val="24"/>
          <w:lang w:val="en-US" w:eastAsia="zh-CN"/>
        </w:rPr>
        <w:t xml:space="preserve">3.3 </w:t>
      </w:r>
      <w:r>
        <w:rPr>
          <w:rFonts w:hint="eastAsia" w:ascii="仿宋" w:hAnsi="仿宋" w:eastAsia="仿宋" w:cs="仿宋"/>
          <w:sz w:val="24"/>
        </w:rPr>
        <w:t>投标人20</w:t>
      </w:r>
      <w:r>
        <w:rPr>
          <w:rFonts w:hint="eastAsia" w:ascii="仿宋" w:hAnsi="仿宋" w:eastAsia="仿宋" w:cs="仿宋"/>
          <w:sz w:val="24"/>
          <w:lang w:val="en-US" w:eastAsia="zh-CN"/>
        </w:rPr>
        <w:t>20</w:t>
      </w:r>
      <w:r>
        <w:rPr>
          <w:rFonts w:hint="eastAsia" w:ascii="仿宋" w:hAnsi="仿宋" w:eastAsia="仿宋" w:cs="仿宋"/>
          <w:sz w:val="24"/>
        </w:rPr>
        <w:t>年-202</w:t>
      </w:r>
      <w:r>
        <w:rPr>
          <w:rFonts w:hint="eastAsia" w:ascii="仿宋" w:hAnsi="仿宋" w:eastAsia="仿宋" w:cs="仿宋"/>
          <w:sz w:val="24"/>
          <w:lang w:val="en-US" w:eastAsia="zh-CN"/>
        </w:rPr>
        <w:t>2</w:t>
      </w:r>
      <w:r>
        <w:rPr>
          <w:rFonts w:hint="eastAsia" w:ascii="仿宋" w:hAnsi="仿宋" w:eastAsia="仿宋" w:cs="仿宋"/>
          <w:sz w:val="24"/>
        </w:rPr>
        <w:t>年企业财务状况良好，近三年(202</w:t>
      </w:r>
      <w:r>
        <w:rPr>
          <w:rFonts w:hint="eastAsia" w:ascii="仿宋" w:hAnsi="仿宋" w:eastAsia="仿宋" w:cs="仿宋"/>
          <w:sz w:val="24"/>
          <w:lang w:val="en-US" w:eastAsia="zh-CN"/>
        </w:rPr>
        <w:t>0</w:t>
      </w:r>
      <w:r>
        <w:rPr>
          <w:rFonts w:hint="eastAsia" w:ascii="仿宋" w:hAnsi="仿宋" w:eastAsia="仿宋" w:cs="仿宋"/>
          <w:sz w:val="24"/>
        </w:rPr>
        <w:t>-202</w:t>
      </w:r>
      <w:r>
        <w:rPr>
          <w:rFonts w:hint="eastAsia" w:ascii="仿宋" w:hAnsi="仿宋" w:eastAsia="仿宋" w:cs="仿宋"/>
          <w:sz w:val="24"/>
          <w:lang w:val="en-US" w:eastAsia="zh-CN"/>
        </w:rPr>
        <w:t>2</w:t>
      </w:r>
      <w:r>
        <w:rPr>
          <w:rFonts w:hint="eastAsia" w:ascii="仿宋" w:hAnsi="仿宋" w:eastAsia="仿宋" w:cs="仿宋"/>
          <w:sz w:val="24"/>
        </w:rPr>
        <w:t>年)流动资产与流动负债比大于1</w:t>
      </w:r>
      <w:r>
        <w:rPr>
          <w:rFonts w:hint="eastAsia" w:ascii="仿宋" w:hAnsi="仿宋" w:cs="仿宋"/>
          <w:sz w:val="24"/>
          <w:lang w:eastAsia="zh-CN"/>
        </w:rPr>
        <w:t>；</w:t>
      </w:r>
    </w:p>
    <w:p>
      <w:pPr>
        <w:spacing w:line="360" w:lineRule="auto"/>
        <w:ind w:firstLine="480" w:firstLineChars="200"/>
        <w:rPr>
          <w:rFonts w:hint="eastAsia" w:ascii="仿宋" w:hAnsi="仿宋" w:eastAsia="仿宋" w:cs="仿宋"/>
          <w:sz w:val="24"/>
        </w:rPr>
      </w:pPr>
      <w:r>
        <w:rPr>
          <w:rFonts w:hint="eastAsia" w:ascii="仿宋" w:hAnsi="仿宋" w:cs="仿宋"/>
          <w:sz w:val="24"/>
          <w:lang w:val="en-US" w:eastAsia="zh-CN"/>
        </w:rPr>
        <w:t>3.4</w:t>
      </w:r>
      <w:r>
        <w:rPr>
          <w:rFonts w:hint="eastAsia" w:ascii="仿宋" w:hAnsi="仿宋" w:eastAsia="仿宋" w:cs="仿宋"/>
          <w:sz w:val="24"/>
        </w:rPr>
        <w:t>投标人近5年内（2019年1月1日至</w:t>
      </w:r>
      <w:r>
        <w:rPr>
          <w:rFonts w:hint="eastAsia" w:ascii="仿宋" w:hAnsi="仿宋" w:cs="仿宋"/>
          <w:sz w:val="24"/>
          <w:lang w:val="en-US" w:eastAsia="zh-CN"/>
        </w:rPr>
        <w:t>投标文件递交截止日</w:t>
      </w:r>
      <w:r>
        <w:rPr>
          <w:rFonts w:hint="eastAsia" w:ascii="仿宋" w:hAnsi="仿宋" w:eastAsia="仿宋" w:cs="仿宋"/>
          <w:sz w:val="24"/>
        </w:rPr>
        <w:t>）至少完成过1项二级及以上公路交通安全设施的施工业绩</w:t>
      </w:r>
      <w:r>
        <w:rPr>
          <w:rFonts w:hint="eastAsia" w:ascii="仿宋" w:hAnsi="仿宋" w:cs="仿宋"/>
          <w:sz w:val="24"/>
          <w:lang w:eastAsia="zh-CN"/>
        </w:rPr>
        <w:t>；</w:t>
      </w:r>
      <w:r>
        <w:rPr>
          <w:rFonts w:hint="eastAsia" w:ascii="仿宋" w:hAnsi="仿宋" w:eastAsia="仿宋" w:cs="仿宋"/>
          <w:sz w:val="24"/>
        </w:rPr>
        <w:t>并在人员、机械设备、资金等方面具备相应的施工能力。</w:t>
      </w:r>
    </w:p>
    <w:p>
      <w:pPr>
        <w:spacing w:line="360" w:lineRule="auto"/>
        <w:ind w:firstLine="480" w:firstLineChars="200"/>
        <w:rPr>
          <w:rFonts w:hint="eastAsia" w:ascii="仿宋" w:hAnsi="仿宋" w:eastAsia="仿宋" w:cs="仿宋"/>
          <w:sz w:val="24"/>
        </w:rPr>
      </w:pPr>
      <w:r>
        <w:rPr>
          <w:rFonts w:hint="eastAsia" w:ascii="仿宋" w:hAnsi="仿宋" w:eastAsia="仿宋" w:cs="仿宋"/>
          <w:b w:val="0"/>
          <w:bCs w:val="0"/>
          <w:sz w:val="24"/>
        </w:rPr>
        <w:t>3.</w:t>
      </w:r>
      <w:r>
        <w:rPr>
          <w:rFonts w:hint="eastAsia" w:ascii="仿宋" w:hAnsi="仿宋" w:cs="仿宋"/>
          <w:b w:val="0"/>
          <w:bCs w:val="0"/>
          <w:sz w:val="24"/>
          <w:lang w:val="en-US" w:eastAsia="zh-CN"/>
        </w:rPr>
        <w:t>5</w:t>
      </w:r>
      <w:r>
        <w:rPr>
          <w:rFonts w:hint="eastAsia" w:ascii="仿宋" w:hAnsi="仿宋" w:eastAsia="仿宋" w:cs="仿宋"/>
          <w:b w:val="0"/>
          <w:bCs w:val="0"/>
          <w:sz w:val="24"/>
        </w:rPr>
        <w:t xml:space="preserve"> 项目经理要求：</w:t>
      </w:r>
      <w:r>
        <w:rPr>
          <w:rFonts w:hint="eastAsia" w:ascii="仿宋" w:hAnsi="仿宋" w:eastAsia="仿宋" w:cs="仿宋"/>
          <w:b w:val="0"/>
          <w:bCs w:val="0"/>
          <w:sz w:val="24"/>
          <w:highlight w:val="none"/>
        </w:rPr>
        <w:t>应为</w:t>
      </w:r>
      <w:r>
        <w:rPr>
          <w:rFonts w:hint="eastAsia" w:ascii="仿宋" w:hAnsi="仿宋" w:eastAsia="仿宋" w:cs="仿宋"/>
          <w:sz w:val="24"/>
          <w:highlight w:val="none"/>
        </w:rPr>
        <w:t>投标人本单位在职人员，具有公路工程专业二级及以上建造师证书且必须注册在投标人本单位，具有安全生产考核合格“B”类证书并在有效期内；近3年（2021年1月1日至</w:t>
      </w:r>
      <w:r>
        <w:rPr>
          <w:rFonts w:hint="eastAsia" w:ascii="仿宋" w:hAnsi="仿宋" w:cs="仿宋"/>
          <w:sz w:val="24"/>
          <w:lang w:val="en-US" w:eastAsia="zh-CN"/>
        </w:rPr>
        <w:t>投标文件递交截止日</w:t>
      </w:r>
      <w:r>
        <w:rPr>
          <w:rFonts w:hint="eastAsia" w:ascii="仿宋" w:hAnsi="仿宋" w:eastAsia="仿宋" w:cs="仿宋"/>
          <w:sz w:val="24"/>
          <w:highlight w:val="none"/>
        </w:rPr>
        <w:t>）至少担任过1项公路工程的项目经理</w:t>
      </w:r>
      <w:r>
        <w:rPr>
          <w:rFonts w:hint="eastAsia" w:ascii="仿宋" w:hAnsi="仿宋" w:cs="仿宋"/>
          <w:sz w:val="24"/>
          <w:highlight w:val="none"/>
          <w:lang w:val="en-US" w:eastAsia="zh-CN"/>
        </w:rPr>
        <w:t>,</w:t>
      </w:r>
      <w:r>
        <w:rPr>
          <w:rFonts w:hint="eastAsia" w:ascii="仿宋" w:hAnsi="仿宋" w:eastAsia="仿宋" w:cs="仿宋"/>
          <w:sz w:val="24"/>
        </w:rPr>
        <w:t>需提供相关业绩的合同或中标通知书</w:t>
      </w:r>
      <w:r>
        <w:rPr>
          <w:rFonts w:hint="eastAsia" w:ascii="仿宋" w:hAnsi="仿宋" w:cs="仿宋"/>
          <w:sz w:val="24"/>
          <w:lang w:eastAsia="zh-CN"/>
        </w:rPr>
        <w:t>，</w:t>
      </w:r>
      <w:r>
        <w:rPr>
          <w:rFonts w:hint="eastAsia" w:ascii="仿宋" w:hAnsi="仿宋" w:eastAsia="仿宋" w:cs="仿宋"/>
          <w:sz w:val="24"/>
        </w:rPr>
        <w:t>且未承担其他在建工程。</w:t>
      </w:r>
    </w:p>
    <w:p>
      <w:pPr>
        <w:spacing w:line="360" w:lineRule="auto"/>
        <w:ind w:firstLine="480" w:firstLineChars="200"/>
        <w:rPr>
          <w:rFonts w:hint="eastAsia" w:ascii="仿宋" w:hAnsi="仿宋" w:eastAsia="仿宋" w:cs="仿宋"/>
          <w:sz w:val="24"/>
        </w:rPr>
      </w:pPr>
      <w:r>
        <w:rPr>
          <w:rFonts w:hint="eastAsia" w:ascii="仿宋" w:hAnsi="仿宋" w:eastAsia="仿宋" w:cs="仿宋"/>
          <w:b w:val="0"/>
          <w:bCs w:val="0"/>
          <w:sz w:val="24"/>
        </w:rPr>
        <w:t>3.</w:t>
      </w:r>
      <w:r>
        <w:rPr>
          <w:rFonts w:hint="eastAsia" w:ascii="仿宋" w:hAnsi="仿宋" w:cs="仿宋"/>
          <w:b w:val="0"/>
          <w:bCs w:val="0"/>
          <w:sz w:val="24"/>
          <w:lang w:val="en-US" w:eastAsia="zh-CN"/>
        </w:rPr>
        <w:t>6</w:t>
      </w:r>
      <w:r>
        <w:rPr>
          <w:rFonts w:hint="eastAsia" w:ascii="仿宋" w:hAnsi="仿宋" w:eastAsia="仿宋" w:cs="仿宋"/>
          <w:b w:val="0"/>
          <w:bCs w:val="0"/>
          <w:sz w:val="24"/>
        </w:rPr>
        <w:t xml:space="preserve"> 项目总工资格要求：</w:t>
      </w:r>
      <w:r>
        <w:rPr>
          <w:rFonts w:hint="eastAsia" w:ascii="仿宋" w:hAnsi="仿宋" w:eastAsia="仿宋" w:cs="仿宋"/>
          <w:sz w:val="24"/>
        </w:rPr>
        <w:t>应为投标人本单位在职人员，取得公路工程相关专业中级及以上技术职称；近3年（2021年1月1日至</w:t>
      </w:r>
      <w:r>
        <w:rPr>
          <w:rFonts w:hint="eastAsia" w:ascii="仿宋" w:hAnsi="仿宋" w:cs="仿宋"/>
          <w:sz w:val="24"/>
          <w:lang w:val="en-US" w:eastAsia="zh-CN"/>
        </w:rPr>
        <w:t>投标文件递交截止日</w:t>
      </w:r>
      <w:r>
        <w:rPr>
          <w:rFonts w:hint="eastAsia" w:ascii="仿宋" w:hAnsi="仿宋" w:eastAsia="仿宋" w:cs="仿宋"/>
          <w:sz w:val="24"/>
        </w:rPr>
        <w:t>）至少担任过1项公路工程的项目总工</w:t>
      </w:r>
      <w:r>
        <w:rPr>
          <w:rFonts w:hint="eastAsia" w:ascii="仿宋" w:hAnsi="仿宋" w:cs="仿宋"/>
          <w:sz w:val="24"/>
          <w:lang w:val="en-US" w:eastAsia="zh-CN"/>
        </w:rPr>
        <w:t>或项目经理，</w:t>
      </w:r>
      <w:r>
        <w:rPr>
          <w:rFonts w:hint="eastAsia" w:ascii="仿宋" w:hAnsi="仿宋" w:eastAsia="仿宋" w:cs="仿宋"/>
          <w:sz w:val="24"/>
        </w:rPr>
        <w:t>且未承担其他在建工程。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cs="仿宋"/>
          <w:sz w:val="24"/>
          <w:lang w:val="en-US" w:eastAsia="zh-CN"/>
        </w:rPr>
        <w:t>7</w:t>
      </w:r>
      <w:r>
        <w:rPr>
          <w:rFonts w:hint="eastAsia" w:ascii="仿宋" w:hAnsi="仿宋" w:eastAsia="仿宋" w:cs="仿宋"/>
          <w:sz w:val="24"/>
        </w:rPr>
        <w:t xml:space="preserve"> 本次招标不接受联合体投标。</w:t>
      </w:r>
    </w:p>
    <w:p>
      <w:pPr>
        <w:pStyle w:val="8"/>
        <w:spacing w:line="360" w:lineRule="auto"/>
        <w:rPr>
          <w:rFonts w:hint="eastAsia" w:ascii="仿宋" w:hAnsi="仿宋" w:eastAsia="仿宋" w:cs="仿宋"/>
          <w:bCs/>
          <w:sz w:val="32"/>
          <w:szCs w:val="32"/>
        </w:rPr>
      </w:pPr>
      <w:r>
        <w:rPr>
          <w:rFonts w:hint="eastAsia" w:ascii="仿宋" w:hAnsi="仿宋" w:eastAsia="仿宋" w:cs="仿宋"/>
          <w:bCs/>
          <w:sz w:val="32"/>
          <w:szCs w:val="32"/>
        </w:rPr>
        <w:t>4.信誉要求</w:t>
      </w:r>
    </w:p>
    <w:p>
      <w:pPr>
        <w:spacing w:line="360" w:lineRule="auto"/>
        <w:ind w:firstLine="481" w:firstLineChars="200"/>
        <w:rPr>
          <w:rFonts w:hint="eastAsia" w:ascii="仿宋" w:hAnsi="仿宋" w:eastAsia="仿宋" w:cs="仿宋"/>
          <w:sz w:val="24"/>
        </w:rPr>
      </w:pPr>
      <w:r>
        <w:rPr>
          <w:rFonts w:hint="eastAsia" w:ascii="仿宋" w:hAnsi="仿宋" w:eastAsia="仿宋" w:cs="仿宋"/>
          <w:b/>
          <w:bCs/>
          <w:sz w:val="24"/>
        </w:rPr>
        <w:t>具有下列行为不能参加投标，否则以废标进行处理</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（1）凡被交通运输部或陕西省交通运输主管部门取消或暂停在陕西省投标资格且在处罚期内的单位；</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（2）凡在202</w:t>
      </w:r>
      <w:r>
        <w:rPr>
          <w:rFonts w:hint="eastAsia" w:ascii="仿宋" w:hAnsi="仿宋" w:cs="仿宋"/>
          <w:sz w:val="24"/>
          <w:lang w:val="en-US" w:eastAsia="zh-CN"/>
        </w:rPr>
        <w:t>2</w:t>
      </w:r>
      <w:r>
        <w:rPr>
          <w:rFonts w:hint="eastAsia" w:ascii="仿宋" w:hAnsi="仿宋" w:eastAsia="仿宋" w:cs="仿宋"/>
          <w:sz w:val="24"/>
        </w:rPr>
        <w:t>年度交通运输部企业信用评价结果或陕西省普通干线公路建设施工企业信用评价结果或陕西省公路养护施工单位信用评价结果中，被评为D级或曾被评为D级但处罚期限未过；</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（3）被责令停业，暂扣或吊销执照，或吊销资质证书；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（4）进入清算程序，或被宣告破产，或其他丧失履约能力的情形；</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（5）在国家企业信用信息公示系统（http://www.gsxt.gov.cn/）中被列入严重违法失信企业名单；在“信用中国”网站（http://www.creditchina.gov.cn/）中被列入失信被执行人名单；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（6）投标人及其法定代表人、拟委任的项目经理、项目总工在近三年内有行贿犯罪行为的（行贿犯罪行为的认定以中国裁判文书网查询的结果为准）；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（7）法律法规规定的其他情形。</w:t>
      </w:r>
    </w:p>
    <w:p>
      <w:r>
        <w:br w:type="page"/>
      </w:r>
    </w:p>
    <w:p>
      <w:pPr>
        <w:jc w:val="center"/>
        <w:rPr>
          <w:rFonts w:hint="eastAsia" w:ascii="仿宋" w:hAnsi="仿宋" w:eastAsia="仿宋" w:cs="仿宋"/>
          <w:b/>
          <w:sz w:val="36"/>
          <w:szCs w:val="36"/>
        </w:rPr>
      </w:pPr>
      <w:r>
        <w:rPr>
          <w:rFonts w:hint="eastAsia" w:ascii="仿宋" w:hAnsi="仿宋" w:eastAsia="仿宋" w:cs="仿宋"/>
          <w:b/>
          <w:sz w:val="36"/>
          <w:szCs w:val="36"/>
        </w:rPr>
        <w:t>评标办法（技术评分最低标价法）</w:t>
      </w:r>
    </w:p>
    <w:p>
      <w:pPr>
        <w:pStyle w:val="3"/>
        <w:spacing w:before="240" w:afterLines="0"/>
        <w:rPr>
          <w:rFonts w:hint="eastAsia" w:ascii="仿宋" w:hAnsi="仿宋" w:eastAsia="仿宋" w:cs="仿宋"/>
          <w:szCs w:val="24"/>
        </w:rPr>
      </w:pPr>
      <w:bookmarkStart w:id="6" w:name="_Toc274896544"/>
      <w:bookmarkStart w:id="7" w:name="_Toc275047204"/>
      <w:bookmarkStart w:id="8" w:name="_Toc270597576"/>
      <w:bookmarkStart w:id="9" w:name="_Toc271550460"/>
      <w:bookmarkStart w:id="10" w:name="_Toc234382674"/>
      <w:bookmarkStart w:id="11" w:name="_Toc129166500"/>
      <w:bookmarkStart w:id="12" w:name="_Toc271621009"/>
      <w:bookmarkStart w:id="13" w:name="_Toc274998184"/>
      <w:bookmarkStart w:id="14" w:name="_Toc271613151"/>
      <w:bookmarkStart w:id="15" w:name="_Toc272476369"/>
      <w:bookmarkStart w:id="16" w:name="_Toc274903630"/>
      <w:bookmarkStart w:id="17" w:name="_Toc275039136"/>
      <w:bookmarkStart w:id="18" w:name="_Toc270598465"/>
      <w:bookmarkStart w:id="19" w:name="_Toc270597877"/>
      <w:bookmarkStart w:id="20" w:name="_Toc270598173"/>
      <w:r>
        <w:rPr>
          <w:rFonts w:hint="eastAsia" w:ascii="仿宋" w:hAnsi="仿宋" w:eastAsia="仿宋" w:cs="仿宋"/>
        </w:rPr>
        <w:t>评标办法前附表</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tbl>
      <w:tblPr>
        <w:tblStyle w:val="6"/>
        <w:tblW w:w="90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8"/>
        <w:gridCol w:w="907"/>
        <w:gridCol w:w="70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tblHeader/>
          <w:jc w:val="center"/>
        </w:trPr>
        <w:tc>
          <w:tcPr>
            <w:tcW w:w="1975" w:type="dxa"/>
            <w:gridSpan w:val="2"/>
            <w:tcBorders>
              <w:top w:val="single" w:color="auto" w:sz="4" w:space="0"/>
              <w:bottom w:val="single" w:color="auto" w:sz="4" w:space="0"/>
              <w:right w:val="single" w:color="auto" w:sz="4" w:space="0"/>
            </w:tcBorders>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条款号</w:t>
            </w:r>
          </w:p>
        </w:tc>
        <w:tc>
          <w:tcPr>
            <w:tcW w:w="70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9" w:hRule="atLeast"/>
          <w:jc w:val="center"/>
        </w:trPr>
        <w:tc>
          <w:tcPr>
            <w:tcW w:w="1068"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907"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评标方法</w:t>
            </w:r>
          </w:p>
        </w:tc>
        <w:tc>
          <w:tcPr>
            <w:tcW w:w="7076" w:type="dxa"/>
            <w:tcBorders>
              <w:top w:val="single" w:color="auto" w:sz="4" w:space="0"/>
              <w:left w:val="single" w:color="auto" w:sz="4" w:space="0"/>
              <w:right w:val="single" w:color="auto" w:sz="4" w:space="0"/>
            </w:tcBorders>
            <w:vAlign w:val="center"/>
          </w:tcPr>
          <w:p>
            <w:pPr>
              <w:ind w:firstLine="210" w:firstLineChars="100"/>
              <w:rPr>
                <w:rFonts w:hint="eastAsia" w:ascii="仿宋" w:hAnsi="仿宋" w:eastAsia="仿宋" w:cs="仿宋"/>
                <w:szCs w:val="21"/>
              </w:rPr>
            </w:pPr>
            <w:r>
              <w:rPr>
                <w:rFonts w:hint="eastAsia" w:ascii="仿宋" w:hAnsi="仿宋" w:eastAsia="仿宋" w:cs="仿宋"/>
                <w:szCs w:val="21"/>
              </w:rPr>
              <w:t>评标价相等时，评标委员会依次按照以下优先顺序推荐中标候选人或确定中标人：</w:t>
            </w:r>
          </w:p>
          <w:p>
            <w:pPr>
              <w:ind w:firstLine="210" w:firstLineChars="100"/>
              <w:rPr>
                <w:rFonts w:hint="eastAsia" w:ascii="仿宋" w:hAnsi="仿宋" w:eastAsia="仿宋" w:cs="仿宋"/>
                <w:szCs w:val="21"/>
              </w:rPr>
            </w:pPr>
            <w:r>
              <w:rPr>
                <w:rFonts w:hint="eastAsia" w:ascii="仿宋" w:hAnsi="仿宋" w:eastAsia="仿宋" w:cs="仿宋"/>
                <w:szCs w:val="21"/>
              </w:rPr>
              <w:t>(1)本次评标采用技术评分最低标价法，通过第二信封评审的投标人，按照评标价由低到高的顺序推荐中标候选人。</w:t>
            </w:r>
          </w:p>
          <w:p>
            <w:pPr>
              <w:ind w:firstLine="210" w:firstLineChars="100"/>
              <w:rPr>
                <w:rFonts w:hint="eastAsia" w:ascii="仿宋" w:hAnsi="仿宋" w:eastAsia="仿宋" w:cs="仿宋"/>
                <w:szCs w:val="21"/>
              </w:rPr>
            </w:pPr>
            <w:r>
              <w:rPr>
                <w:rFonts w:hint="eastAsia" w:ascii="仿宋" w:hAnsi="仿宋" w:eastAsia="仿宋" w:cs="仿宋"/>
                <w:szCs w:val="21"/>
              </w:rPr>
              <w:t>(2)商务和技术得分较高的投标人优先。</w:t>
            </w:r>
          </w:p>
          <w:p>
            <w:pPr>
              <w:ind w:firstLine="210" w:firstLineChars="100"/>
              <w:rPr>
                <w:rFonts w:hint="eastAsia" w:ascii="仿宋" w:hAnsi="仿宋" w:eastAsia="仿宋" w:cs="仿宋"/>
                <w:szCs w:val="21"/>
              </w:rPr>
            </w:pPr>
            <w:r>
              <w:rPr>
                <w:rFonts w:hint="eastAsia" w:ascii="仿宋" w:hAnsi="仿宋" w:eastAsia="仿宋" w:cs="仿宋"/>
                <w:szCs w:val="21"/>
              </w:rPr>
              <w:t>(3)商务和技术得分相等时，则依次按照施工组织设计、主要人员、技术能力、履约信誉、单位业绩各单项评分因素得分高的优先；各单项评分因素也相等的，按投标文件递交时间先后排序，先递交排序靠前的优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11" w:hRule="atLeast"/>
          <w:jc w:val="center"/>
        </w:trPr>
        <w:tc>
          <w:tcPr>
            <w:tcW w:w="1068"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bookmarkStart w:id="21" w:name="_Toc127370679"/>
            <w:r>
              <w:rPr>
                <w:rFonts w:hint="eastAsia" w:ascii="仿宋" w:hAnsi="仿宋" w:eastAsia="仿宋" w:cs="仿宋"/>
                <w:szCs w:val="21"/>
              </w:rPr>
              <w:t>2.1.1</w:t>
            </w:r>
            <w:bookmarkEnd w:id="21"/>
          </w:p>
          <w:p>
            <w:pPr>
              <w:jc w:val="center"/>
              <w:rPr>
                <w:rFonts w:hint="eastAsia" w:ascii="仿宋" w:hAnsi="仿宋" w:eastAsia="仿宋" w:cs="仿宋"/>
                <w:szCs w:val="21"/>
              </w:rPr>
            </w:pPr>
            <w:bookmarkStart w:id="22" w:name="_Toc127370680"/>
            <w:r>
              <w:rPr>
                <w:rFonts w:hint="eastAsia" w:ascii="仿宋" w:hAnsi="仿宋" w:eastAsia="仿宋" w:cs="仿宋"/>
                <w:szCs w:val="21"/>
              </w:rPr>
              <w:t>2.1.3</w:t>
            </w:r>
            <w:bookmarkEnd w:id="22"/>
          </w:p>
        </w:tc>
        <w:tc>
          <w:tcPr>
            <w:tcW w:w="907"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szCs w:val="21"/>
              </w:rPr>
            </w:pPr>
            <w:bookmarkStart w:id="23" w:name="_Toc127370681"/>
            <w:r>
              <w:rPr>
                <w:rFonts w:hint="eastAsia" w:ascii="仿宋" w:hAnsi="仿宋" w:eastAsia="仿宋" w:cs="仿宋"/>
                <w:szCs w:val="21"/>
              </w:rPr>
              <w:t>形式评审与响应性评审标准</w:t>
            </w:r>
            <w:bookmarkEnd w:id="23"/>
          </w:p>
        </w:tc>
        <w:tc>
          <w:tcPr>
            <w:tcW w:w="7076" w:type="dxa"/>
            <w:tcBorders>
              <w:top w:val="single" w:color="auto" w:sz="4" w:space="0"/>
              <w:left w:val="single" w:color="auto" w:sz="4" w:space="0"/>
              <w:right w:val="single" w:color="auto" w:sz="4" w:space="0"/>
            </w:tcBorders>
            <w:vAlign w:val="center"/>
          </w:tcPr>
          <w:p>
            <w:pPr>
              <w:ind w:firstLine="210" w:firstLineChars="100"/>
              <w:rPr>
                <w:rFonts w:hint="eastAsia" w:ascii="仿宋" w:hAnsi="仿宋" w:eastAsia="仿宋" w:cs="仿宋"/>
                <w:szCs w:val="21"/>
              </w:rPr>
            </w:pPr>
            <w:bookmarkStart w:id="24" w:name="_Toc127370682"/>
            <w:r>
              <w:rPr>
                <w:rFonts w:hint="eastAsia" w:ascii="仿宋" w:hAnsi="仿宋" w:eastAsia="仿宋" w:cs="仿宋"/>
                <w:szCs w:val="21"/>
              </w:rPr>
              <w:t>第一个信封(商务及技术文件)评审标准：</w:t>
            </w:r>
            <w:bookmarkEnd w:id="24"/>
          </w:p>
          <w:p>
            <w:pPr>
              <w:ind w:firstLine="210" w:firstLineChars="100"/>
              <w:rPr>
                <w:rFonts w:hint="eastAsia" w:ascii="仿宋" w:hAnsi="仿宋" w:eastAsia="仿宋" w:cs="仿宋"/>
                <w:szCs w:val="21"/>
              </w:rPr>
            </w:pPr>
            <w:bookmarkStart w:id="25" w:name="_Toc127370683"/>
            <w:r>
              <w:rPr>
                <w:rFonts w:hint="eastAsia" w:ascii="仿宋" w:hAnsi="仿宋" w:eastAsia="仿宋" w:cs="仿宋"/>
                <w:szCs w:val="21"/>
              </w:rPr>
              <w:t>(1)投标文件按照招标文件规定的格式、内容填写，字迹清晰可辨：</w:t>
            </w:r>
            <w:bookmarkEnd w:id="25"/>
          </w:p>
          <w:p>
            <w:pPr>
              <w:ind w:firstLine="210" w:firstLineChars="100"/>
              <w:rPr>
                <w:rFonts w:hint="eastAsia" w:ascii="仿宋" w:hAnsi="仿宋" w:eastAsia="仿宋" w:cs="仿宋"/>
                <w:szCs w:val="21"/>
              </w:rPr>
            </w:pPr>
            <w:bookmarkStart w:id="26" w:name="_Toc127370684"/>
            <w:r>
              <w:rPr>
                <w:rFonts w:hint="eastAsia" w:ascii="仿宋" w:hAnsi="仿宋" w:eastAsia="仿宋" w:cs="仿宋"/>
                <w:szCs w:val="21"/>
              </w:rPr>
              <w:t>a.投标函按招标文件规定填报了项目名称、标段号、补遗书编号(如有)、工期、工程质量要求及安全目标；</w:t>
            </w:r>
            <w:bookmarkEnd w:id="26"/>
          </w:p>
          <w:p>
            <w:pPr>
              <w:ind w:firstLine="210" w:firstLineChars="100"/>
              <w:rPr>
                <w:rFonts w:hint="eastAsia" w:ascii="仿宋" w:hAnsi="仿宋" w:eastAsia="仿宋" w:cs="仿宋"/>
                <w:szCs w:val="21"/>
              </w:rPr>
            </w:pPr>
            <w:bookmarkStart w:id="27" w:name="_Toc127370685"/>
            <w:r>
              <w:rPr>
                <w:rFonts w:hint="eastAsia" w:ascii="仿宋" w:hAnsi="仿宋" w:eastAsia="仿宋" w:cs="仿宋"/>
                <w:szCs w:val="21"/>
              </w:rPr>
              <w:t>b.投标函附录的所有数据均符合招标文件规定；</w:t>
            </w:r>
            <w:bookmarkEnd w:id="27"/>
          </w:p>
          <w:p>
            <w:pPr>
              <w:ind w:firstLine="210" w:firstLineChars="100"/>
              <w:rPr>
                <w:rFonts w:hint="eastAsia" w:ascii="仿宋" w:hAnsi="仿宋" w:eastAsia="仿宋" w:cs="仿宋"/>
                <w:szCs w:val="21"/>
              </w:rPr>
            </w:pPr>
            <w:bookmarkStart w:id="28" w:name="_Toc127370686"/>
            <w:r>
              <w:rPr>
                <w:rFonts w:hint="eastAsia" w:ascii="仿宋" w:hAnsi="仿宋" w:eastAsia="仿宋" w:cs="仿宋"/>
                <w:szCs w:val="21"/>
              </w:rPr>
              <w:t>c.投标文件组成齐全完整，内容均按规定填写。</w:t>
            </w:r>
            <w:bookmarkEnd w:id="28"/>
          </w:p>
          <w:p>
            <w:pPr>
              <w:ind w:firstLine="210" w:firstLineChars="100"/>
              <w:rPr>
                <w:rFonts w:hint="eastAsia" w:ascii="仿宋" w:hAnsi="仿宋" w:eastAsia="仿宋" w:cs="仿宋"/>
                <w:szCs w:val="21"/>
              </w:rPr>
            </w:pPr>
            <w:bookmarkStart w:id="29" w:name="_Toc127370687"/>
            <w:r>
              <w:rPr>
                <w:rFonts w:hint="eastAsia" w:ascii="仿宋" w:hAnsi="仿宋" w:eastAsia="仿宋" w:cs="仿宋"/>
                <w:szCs w:val="21"/>
              </w:rPr>
              <w:t>(2)投标文件上法定代表人或其委托代理人的签字、投标人的单位章盖章齐全，符合招标文件规定。</w:t>
            </w:r>
            <w:bookmarkEnd w:id="29"/>
          </w:p>
          <w:p>
            <w:pPr>
              <w:ind w:firstLine="210" w:firstLineChars="100"/>
              <w:rPr>
                <w:rFonts w:hint="eastAsia" w:ascii="仿宋" w:hAnsi="仿宋" w:eastAsia="仿宋" w:cs="仿宋"/>
                <w:szCs w:val="21"/>
              </w:rPr>
            </w:pPr>
            <w:bookmarkStart w:id="30" w:name="_Toc127370688"/>
            <w:r>
              <w:rPr>
                <w:rFonts w:hint="eastAsia" w:ascii="仿宋" w:hAnsi="仿宋" w:eastAsia="仿宋" w:cs="仿宋"/>
                <w:szCs w:val="21"/>
              </w:rPr>
              <w:t>(3)投标人按照招标文件的规定提供了投标保证金：</w:t>
            </w:r>
            <w:bookmarkEnd w:id="30"/>
          </w:p>
          <w:p>
            <w:pPr>
              <w:ind w:firstLine="210" w:firstLineChars="100"/>
              <w:rPr>
                <w:rFonts w:hint="eastAsia" w:ascii="仿宋" w:hAnsi="仿宋" w:eastAsia="仿宋" w:cs="仿宋"/>
                <w:szCs w:val="21"/>
              </w:rPr>
            </w:pPr>
            <w:bookmarkStart w:id="31" w:name="_Toc127370689"/>
            <w:r>
              <w:rPr>
                <w:rFonts w:hint="eastAsia" w:ascii="仿宋" w:hAnsi="仿宋" w:eastAsia="仿宋" w:cs="仿宋"/>
                <w:szCs w:val="21"/>
              </w:rPr>
              <w:t>a.投标保证金金额符合招标文件规定的金额，且投标保证金有效期不少于投标有效期；</w:t>
            </w:r>
            <w:bookmarkEnd w:id="31"/>
          </w:p>
          <w:p>
            <w:pPr>
              <w:ind w:firstLine="210" w:firstLineChars="100"/>
              <w:rPr>
                <w:rFonts w:hint="eastAsia" w:ascii="仿宋" w:hAnsi="仿宋" w:eastAsia="仿宋" w:cs="仿宋"/>
                <w:szCs w:val="21"/>
              </w:rPr>
            </w:pPr>
            <w:bookmarkStart w:id="32" w:name="_Toc127370690"/>
            <w:r>
              <w:rPr>
                <w:rFonts w:hint="eastAsia" w:ascii="仿宋" w:hAnsi="仿宋" w:eastAsia="仿宋" w:cs="仿宋"/>
                <w:szCs w:val="21"/>
              </w:rPr>
              <w:t>b.若投标保证金采用现金形式提交，投标人应在递交投标文件截止时间之前，将投标保证金由投标人的基本账户转入招标人指定账户；</w:t>
            </w:r>
            <w:bookmarkEnd w:id="32"/>
          </w:p>
          <w:p>
            <w:pPr>
              <w:ind w:firstLine="210" w:firstLineChars="100"/>
              <w:rPr>
                <w:rFonts w:hint="eastAsia" w:ascii="仿宋" w:hAnsi="仿宋" w:eastAsia="仿宋" w:cs="仿宋"/>
                <w:szCs w:val="21"/>
              </w:rPr>
            </w:pPr>
            <w:bookmarkStart w:id="33" w:name="_Toc127370691"/>
            <w:r>
              <w:rPr>
                <w:rFonts w:hint="eastAsia" w:ascii="仿宋" w:hAnsi="仿宋" w:eastAsia="仿宋" w:cs="仿宋"/>
                <w:szCs w:val="21"/>
              </w:rPr>
              <w:t>c.若投标保证金采用银行保函</w:t>
            </w:r>
            <w:r>
              <w:rPr>
                <w:rFonts w:hint="eastAsia" w:ascii="仿宋" w:hAnsi="仿宋" w:cs="仿宋"/>
                <w:szCs w:val="21"/>
                <w:lang w:val="en-US" w:eastAsia="zh-CN"/>
              </w:rPr>
              <w:t>或电子保函</w:t>
            </w:r>
            <w:r>
              <w:rPr>
                <w:rFonts w:hint="eastAsia" w:ascii="仿宋" w:hAnsi="仿宋" w:eastAsia="仿宋" w:cs="仿宋"/>
                <w:szCs w:val="21"/>
              </w:rPr>
              <w:t>形式提交，保函的格式、开具保函的银行均满足招标文件要求，且在递交投标文件截止时间之前向招标人</w:t>
            </w:r>
            <w:r>
              <w:rPr>
                <w:rFonts w:hint="eastAsia" w:ascii="仿宋" w:hAnsi="仿宋" w:cs="仿宋"/>
                <w:szCs w:val="21"/>
                <w:lang w:val="en-US" w:eastAsia="zh-CN"/>
              </w:rPr>
              <w:t>或代理机构</w:t>
            </w:r>
            <w:r>
              <w:rPr>
                <w:rFonts w:hint="eastAsia" w:ascii="仿宋" w:hAnsi="仿宋" w:eastAsia="仿宋" w:cs="仿宋"/>
                <w:szCs w:val="21"/>
              </w:rPr>
              <w:t>提交了保函原件。</w:t>
            </w:r>
            <w:bookmarkEnd w:id="33"/>
          </w:p>
          <w:p>
            <w:pPr>
              <w:ind w:firstLine="210" w:firstLineChars="100"/>
              <w:rPr>
                <w:rFonts w:hint="eastAsia" w:ascii="仿宋" w:hAnsi="仿宋" w:eastAsia="仿宋" w:cs="仿宋"/>
                <w:szCs w:val="21"/>
              </w:rPr>
            </w:pPr>
            <w:bookmarkStart w:id="34" w:name="_Toc127370692"/>
            <w:r>
              <w:rPr>
                <w:rFonts w:hint="eastAsia" w:ascii="仿宋" w:hAnsi="仿宋" w:eastAsia="仿宋" w:cs="仿宋"/>
                <w:szCs w:val="21"/>
              </w:rPr>
              <w:t>(4)投标人法定代表人授权委托代理人签署投标文件的，须提交授权委托书，且授权人和被授权人均在授权委托书上签名。</w:t>
            </w:r>
            <w:bookmarkEnd w:id="34"/>
          </w:p>
          <w:p>
            <w:pPr>
              <w:ind w:firstLine="210" w:firstLineChars="100"/>
              <w:rPr>
                <w:rFonts w:hint="eastAsia" w:ascii="仿宋" w:hAnsi="仿宋" w:eastAsia="仿宋" w:cs="仿宋"/>
                <w:szCs w:val="21"/>
              </w:rPr>
            </w:pPr>
            <w:bookmarkStart w:id="35" w:name="_Toc127370693"/>
            <w:r>
              <w:rPr>
                <w:rFonts w:hint="eastAsia" w:ascii="仿宋" w:hAnsi="仿宋" w:eastAsia="仿宋" w:cs="仿宋"/>
                <w:szCs w:val="21"/>
              </w:rPr>
              <w:t>(5)投标人法定代表人亲自签署投标文件的，提供了法定代表人身份证明，且法定代表人在法定代表人身份证明上签名。</w:t>
            </w:r>
            <w:bookmarkEnd w:id="35"/>
          </w:p>
          <w:p>
            <w:pPr>
              <w:ind w:firstLine="210" w:firstLineChars="100"/>
              <w:rPr>
                <w:rFonts w:hint="eastAsia" w:ascii="仿宋" w:hAnsi="仿宋" w:eastAsia="仿宋" w:cs="仿宋"/>
                <w:szCs w:val="21"/>
              </w:rPr>
            </w:pPr>
            <w:bookmarkStart w:id="36" w:name="_Toc127370694"/>
            <w:r>
              <w:rPr>
                <w:rFonts w:hint="eastAsia" w:ascii="仿宋" w:hAnsi="仿宋" w:eastAsia="仿宋" w:cs="仿宋"/>
                <w:szCs w:val="21"/>
              </w:rPr>
              <w:t>(6)投标人未进行分包。</w:t>
            </w:r>
            <w:bookmarkEnd w:id="36"/>
          </w:p>
          <w:p>
            <w:pPr>
              <w:ind w:firstLine="210" w:firstLineChars="100"/>
              <w:rPr>
                <w:rFonts w:hint="eastAsia" w:ascii="仿宋" w:hAnsi="仿宋" w:eastAsia="仿宋" w:cs="仿宋"/>
                <w:szCs w:val="21"/>
              </w:rPr>
            </w:pPr>
            <w:bookmarkStart w:id="37" w:name="_Toc127370695"/>
            <w:r>
              <w:rPr>
                <w:rFonts w:hint="eastAsia" w:ascii="仿宋" w:hAnsi="仿宋" w:eastAsia="仿宋" w:cs="仿宋"/>
                <w:szCs w:val="21"/>
              </w:rPr>
              <w:t>(7)同一投标人未提交两个以上不同的投标文件，但招标文件要求提交备选投标的除外。</w:t>
            </w:r>
            <w:bookmarkEnd w:id="37"/>
          </w:p>
          <w:p>
            <w:pPr>
              <w:ind w:firstLine="210" w:firstLineChars="100"/>
              <w:rPr>
                <w:rFonts w:hint="eastAsia" w:ascii="仿宋" w:hAnsi="仿宋" w:eastAsia="仿宋" w:cs="仿宋"/>
                <w:szCs w:val="21"/>
              </w:rPr>
            </w:pPr>
            <w:bookmarkStart w:id="38" w:name="_Toc127370696"/>
            <w:r>
              <w:rPr>
                <w:rFonts w:hint="eastAsia" w:ascii="仿宋" w:hAnsi="仿宋" w:eastAsia="仿宋" w:cs="仿宋"/>
                <w:szCs w:val="21"/>
              </w:rPr>
              <w:t>(8)投标文件中未出现有关投标报价的内容。</w:t>
            </w:r>
            <w:bookmarkEnd w:id="38"/>
          </w:p>
          <w:p>
            <w:pPr>
              <w:ind w:firstLine="210" w:firstLineChars="100"/>
              <w:rPr>
                <w:rFonts w:hint="eastAsia" w:ascii="仿宋" w:hAnsi="仿宋" w:eastAsia="仿宋" w:cs="仿宋"/>
                <w:szCs w:val="21"/>
              </w:rPr>
            </w:pPr>
            <w:bookmarkStart w:id="39" w:name="_Toc127370697"/>
            <w:r>
              <w:rPr>
                <w:rFonts w:hint="eastAsia" w:ascii="仿宋" w:hAnsi="仿宋" w:eastAsia="仿宋" w:cs="仿宋"/>
                <w:szCs w:val="21"/>
              </w:rPr>
              <w:t>(9)投标文件载明的招标项目完成期限未超过招标文件规定的时限。</w:t>
            </w:r>
            <w:bookmarkEnd w:id="39"/>
          </w:p>
          <w:p>
            <w:pPr>
              <w:ind w:firstLine="210" w:firstLineChars="100"/>
              <w:rPr>
                <w:rFonts w:hint="eastAsia" w:ascii="仿宋" w:hAnsi="仿宋" w:eastAsia="仿宋" w:cs="仿宋"/>
                <w:szCs w:val="21"/>
              </w:rPr>
            </w:pPr>
            <w:bookmarkStart w:id="40" w:name="_Toc127370698"/>
            <w:r>
              <w:rPr>
                <w:rFonts w:hint="eastAsia" w:ascii="仿宋" w:hAnsi="仿宋" w:eastAsia="仿宋" w:cs="仿宋"/>
                <w:szCs w:val="21"/>
              </w:rPr>
              <w:t>(10)投标人未以联合体形式参与投标。</w:t>
            </w:r>
            <w:bookmarkEnd w:id="40"/>
          </w:p>
          <w:p>
            <w:pPr>
              <w:ind w:firstLine="210" w:firstLineChars="100"/>
              <w:rPr>
                <w:rFonts w:hint="eastAsia" w:ascii="仿宋" w:hAnsi="仿宋" w:eastAsia="仿宋" w:cs="仿宋"/>
                <w:szCs w:val="21"/>
              </w:rPr>
            </w:pPr>
            <w:bookmarkStart w:id="41" w:name="_Toc127370699"/>
            <w:r>
              <w:rPr>
                <w:rFonts w:hint="eastAsia" w:ascii="仿宋" w:hAnsi="仿宋" w:eastAsia="仿宋" w:cs="仿宋"/>
                <w:szCs w:val="21"/>
              </w:rPr>
              <w:t>(11)投标文件对招标文件的实质性要求和条件作出响应。</w:t>
            </w:r>
            <w:bookmarkEnd w:id="41"/>
          </w:p>
          <w:p>
            <w:pPr>
              <w:ind w:firstLine="210" w:firstLineChars="100"/>
              <w:rPr>
                <w:rFonts w:hint="eastAsia" w:ascii="仿宋" w:hAnsi="仿宋" w:eastAsia="仿宋" w:cs="仿宋"/>
                <w:szCs w:val="21"/>
              </w:rPr>
            </w:pPr>
            <w:bookmarkStart w:id="42" w:name="_Toc127370700"/>
            <w:r>
              <w:rPr>
                <w:rFonts w:hint="eastAsia" w:ascii="仿宋" w:hAnsi="仿宋" w:eastAsia="仿宋" w:cs="仿宋"/>
                <w:szCs w:val="21"/>
              </w:rPr>
              <w:t>(12)权利义务符合招标文件规定：</w:t>
            </w:r>
            <w:bookmarkEnd w:id="42"/>
          </w:p>
          <w:p>
            <w:pPr>
              <w:ind w:firstLine="210" w:firstLineChars="100"/>
              <w:rPr>
                <w:rFonts w:hint="eastAsia" w:ascii="仿宋" w:hAnsi="仿宋" w:eastAsia="仿宋" w:cs="仿宋"/>
                <w:szCs w:val="21"/>
              </w:rPr>
            </w:pPr>
            <w:bookmarkStart w:id="43" w:name="_Toc127370701"/>
            <w:r>
              <w:rPr>
                <w:rFonts w:hint="eastAsia" w:ascii="仿宋" w:hAnsi="仿宋" w:eastAsia="仿宋" w:cs="仿宋"/>
                <w:szCs w:val="21"/>
              </w:rPr>
              <w:t>a.投标人应接受招标文件规定的风险划分原则，未提出新的风险划分办法；</w:t>
            </w:r>
            <w:bookmarkEnd w:id="43"/>
          </w:p>
          <w:p>
            <w:pPr>
              <w:ind w:firstLine="210" w:firstLineChars="100"/>
              <w:rPr>
                <w:rFonts w:hint="eastAsia" w:ascii="仿宋" w:hAnsi="仿宋" w:eastAsia="仿宋" w:cs="仿宋"/>
                <w:szCs w:val="21"/>
              </w:rPr>
            </w:pPr>
            <w:bookmarkStart w:id="44" w:name="_Toc127370702"/>
            <w:r>
              <w:rPr>
                <w:rFonts w:hint="eastAsia" w:ascii="仿宋" w:hAnsi="仿宋" w:eastAsia="仿宋" w:cs="仿宋"/>
                <w:szCs w:val="21"/>
              </w:rPr>
              <w:t>b.投标人未增加发包人的责任范围，或减少投标人义务；</w:t>
            </w:r>
            <w:bookmarkEnd w:id="44"/>
          </w:p>
          <w:p>
            <w:pPr>
              <w:ind w:firstLine="210" w:firstLineChars="100"/>
              <w:rPr>
                <w:rFonts w:hint="eastAsia" w:ascii="仿宋" w:hAnsi="仿宋" w:eastAsia="仿宋" w:cs="仿宋"/>
                <w:szCs w:val="21"/>
              </w:rPr>
            </w:pPr>
            <w:bookmarkStart w:id="45" w:name="_Toc127370703"/>
            <w:r>
              <w:rPr>
                <w:rFonts w:hint="eastAsia" w:ascii="仿宋" w:hAnsi="仿宋" w:eastAsia="仿宋" w:cs="仿宋"/>
                <w:szCs w:val="21"/>
              </w:rPr>
              <w:t>c.投标人未提出不同的工程验收、计量、支付办法；</w:t>
            </w:r>
            <w:bookmarkEnd w:id="45"/>
          </w:p>
          <w:p>
            <w:pPr>
              <w:ind w:firstLine="210" w:firstLineChars="100"/>
              <w:rPr>
                <w:rFonts w:hint="eastAsia" w:ascii="仿宋" w:hAnsi="仿宋" w:eastAsia="仿宋" w:cs="仿宋"/>
                <w:szCs w:val="21"/>
              </w:rPr>
            </w:pPr>
            <w:bookmarkStart w:id="46" w:name="_Toc127370704"/>
            <w:r>
              <w:rPr>
                <w:rFonts w:hint="eastAsia" w:ascii="仿宋" w:hAnsi="仿宋" w:eastAsia="仿宋" w:cs="仿宋"/>
                <w:szCs w:val="21"/>
              </w:rPr>
              <w:t>d.投标人对合同纠纷、事故处理办法未提出异议；</w:t>
            </w:r>
            <w:bookmarkEnd w:id="46"/>
          </w:p>
          <w:p>
            <w:pPr>
              <w:ind w:firstLine="210" w:firstLineChars="100"/>
              <w:rPr>
                <w:rFonts w:hint="eastAsia" w:ascii="仿宋" w:hAnsi="仿宋" w:eastAsia="仿宋" w:cs="仿宋"/>
                <w:szCs w:val="21"/>
              </w:rPr>
            </w:pPr>
            <w:bookmarkStart w:id="47" w:name="_Toc127370705"/>
            <w:r>
              <w:rPr>
                <w:rFonts w:hint="eastAsia" w:ascii="仿宋" w:hAnsi="仿宋" w:eastAsia="仿宋" w:cs="仿宋"/>
                <w:szCs w:val="21"/>
              </w:rPr>
              <w:t>e.投标人在投标活动中无欺诈行为；</w:t>
            </w:r>
            <w:bookmarkEnd w:id="47"/>
          </w:p>
          <w:p>
            <w:pPr>
              <w:ind w:firstLine="210" w:firstLineChars="100"/>
              <w:rPr>
                <w:rFonts w:hint="eastAsia" w:ascii="仿宋" w:hAnsi="仿宋" w:eastAsia="仿宋" w:cs="仿宋"/>
                <w:szCs w:val="21"/>
              </w:rPr>
            </w:pPr>
            <w:bookmarkStart w:id="48" w:name="_Toc127370706"/>
            <w:r>
              <w:rPr>
                <w:rFonts w:hint="eastAsia" w:ascii="仿宋" w:hAnsi="仿宋" w:eastAsia="仿宋" w:cs="仿宋"/>
                <w:szCs w:val="21"/>
              </w:rPr>
              <w:t>f.投标人未对合同条款有重要保留。</w:t>
            </w:r>
            <w:bookmarkEnd w:id="48"/>
          </w:p>
          <w:p>
            <w:pPr>
              <w:ind w:firstLine="210" w:firstLineChars="100"/>
              <w:rPr>
                <w:rFonts w:hint="eastAsia" w:ascii="仿宋" w:hAnsi="仿宋" w:eastAsia="仿宋" w:cs="仿宋"/>
                <w:szCs w:val="21"/>
              </w:rPr>
            </w:pPr>
            <w:bookmarkStart w:id="49" w:name="_Toc127370707"/>
            <w:r>
              <w:rPr>
                <w:rFonts w:hint="eastAsia" w:ascii="仿宋" w:hAnsi="仿宋" w:eastAsia="仿宋" w:cs="仿宋"/>
                <w:szCs w:val="21"/>
              </w:rPr>
              <w:t>(13)投标文件正、副本份数符合招标文件第二章“投标人须知”第3.7.4项规定。</w:t>
            </w:r>
            <w:bookmarkEnd w:id="49"/>
          </w:p>
          <w:p>
            <w:pPr>
              <w:ind w:firstLine="210" w:firstLineChars="100"/>
              <w:rPr>
                <w:rFonts w:hint="eastAsia" w:ascii="仿宋" w:hAnsi="仿宋" w:eastAsia="仿宋" w:cs="仿宋"/>
                <w:szCs w:val="21"/>
              </w:rPr>
            </w:pPr>
            <w:bookmarkStart w:id="50" w:name="_Toc127370708"/>
            <w:r>
              <w:rPr>
                <w:rFonts w:hint="eastAsia" w:ascii="仿宋" w:hAnsi="仿宋" w:eastAsia="仿宋" w:cs="仿宋"/>
                <w:szCs w:val="21"/>
              </w:rPr>
              <w:t>投标文件未满足以上任一条件的，其投标视为无效，评标委员会将否决其投标。</w:t>
            </w:r>
            <w:bookmarkEnd w:id="50"/>
          </w:p>
          <w:p>
            <w:pPr>
              <w:ind w:firstLine="210" w:firstLineChars="100"/>
              <w:rPr>
                <w:rFonts w:hint="eastAsia" w:ascii="仿宋" w:hAnsi="仿宋" w:eastAsia="仿宋" w:cs="仿宋"/>
                <w:szCs w:val="21"/>
              </w:rPr>
            </w:pPr>
          </w:p>
          <w:p>
            <w:pPr>
              <w:ind w:firstLine="210" w:firstLineChars="100"/>
              <w:rPr>
                <w:rFonts w:hint="eastAsia" w:ascii="仿宋" w:hAnsi="仿宋" w:eastAsia="仿宋" w:cs="仿宋"/>
                <w:szCs w:val="21"/>
              </w:rPr>
            </w:pPr>
            <w:bookmarkStart w:id="51" w:name="_Toc127370709"/>
            <w:r>
              <w:rPr>
                <w:rFonts w:hint="eastAsia" w:ascii="仿宋" w:hAnsi="仿宋" w:eastAsia="仿宋" w:cs="仿宋"/>
                <w:szCs w:val="21"/>
              </w:rPr>
              <w:t>第二个信封(报价文件)评审标准：</w:t>
            </w:r>
            <w:bookmarkEnd w:id="51"/>
          </w:p>
          <w:p>
            <w:pPr>
              <w:ind w:firstLine="210" w:firstLineChars="100"/>
              <w:rPr>
                <w:rFonts w:hint="eastAsia" w:ascii="仿宋" w:hAnsi="仿宋" w:eastAsia="仿宋" w:cs="仿宋"/>
                <w:szCs w:val="21"/>
              </w:rPr>
            </w:pPr>
            <w:bookmarkStart w:id="52" w:name="_Toc127370710"/>
            <w:r>
              <w:rPr>
                <w:rFonts w:hint="eastAsia" w:ascii="仿宋" w:hAnsi="仿宋" w:eastAsia="仿宋" w:cs="仿宋"/>
                <w:szCs w:val="21"/>
              </w:rPr>
              <w:t>(1)投标文件按照招标文件规定的格式、内容填写，字迹清晰可辨：</w:t>
            </w:r>
            <w:bookmarkEnd w:id="52"/>
          </w:p>
          <w:p>
            <w:pPr>
              <w:ind w:firstLine="210" w:firstLineChars="100"/>
              <w:rPr>
                <w:rFonts w:hint="eastAsia" w:ascii="仿宋" w:hAnsi="仿宋" w:eastAsia="仿宋" w:cs="仿宋"/>
                <w:szCs w:val="21"/>
              </w:rPr>
            </w:pPr>
            <w:bookmarkStart w:id="53" w:name="_Toc127370711"/>
            <w:r>
              <w:rPr>
                <w:rFonts w:hint="eastAsia" w:ascii="仿宋" w:hAnsi="仿宋" w:eastAsia="仿宋" w:cs="仿宋"/>
                <w:szCs w:val="21"/>
              </w:rPr>
              <w:t>a.投标函按招标文件规定填报了项目名称、标段号、补遗书编号(如有)、投标价(包括大写金额和小写金额)；</w:t>
            </w:r>
            <w:bookmarkEnd w:id="53"/>
          </w:p>
          <w:p>
            <w:pPr>
              <w:ind w:firstLine="210" w:firstLineChars="100"/>
              <w:rPr>
                <w:rFonts w:hint="eastAsia" w:ascii="仿宋" w:hAnsi="仿宋" w:eastAsia="仿宋" w:cs="仿宋"/>
                <w:szCs w:val="21"/>
              </w:rPr>
            </w:pPr>
            <w:bookmarkStart w:id="54" w:name="_Toc127370712"/>
            <w:r>
              <w:rPr>
                <w:rFonts w:hint="eastAsia" w:ascii="仿宋" w:hAnsi="仿宋" w:eastAsia="仿宋" w:cs="仿宋"/>
                <w:szCs w:val="21"/>
              </w:rPr>
              <w:t>b.已标价工程量清单说明文字与招标文件规定一致，未进行实质性修改和删减；</w:t>
            </w:r>
            <w:bookmarkEnd w:id="54"/>
          </w:p>
          <w:p>
            <w:pPr>
              <w:ind w:firstLine="210" w:firstLineChars="100"/>
              <w:rPr>
                <w:rFonts w:hint="eastAsia" w:ascii="仿宋" w:hAnsi="仿宋" w:eastAsia="仿宋" w:cs="仿宋"/>
                <w:szCs w:val="21"/>
              </w:rPr>
            </w:pPr>
            <w:bookmarkStart w:id="55" w:name="_Toc127370713"/>
            <w:r>
              <w:rPr>
                <w:rFonts w:hint="eastAsia" w:ascii="仿宋" w:hAnsi="仿宋" w:eastAsia="仿宋" w:cs="仿宋"/>
                <w:szCs w:val="21"/>
              </w:rPr>
              <w:t>c.投标文件组成齐全完整，内容均按规定填写。</w:t>
            </w:r>
            <w:bookmarkEnd w:id="55"/>
          </w:p>
          <w:p>
            <w:pPr>
              <w:ind w:firstLine="210" w:firstLineChars="100"/>
              <w:rPr>
                <w:rFonts w:hint="eastAsia" w:ascii="仿宋" w:hAnsi="仿宋" w:eastAsia="仿宋" w:cs="仿宋"/>
                <w:szCs w:val="21"/>
              </w:rPr>
            </w:pPr>
            <w:bookmarkStart w:id="56" w:name="_Toc127370714"/>
            <w:r>
              <w:rPr>
                <w:rFonts w:hint="eastAsia" w:ascii="仿宋" w:hAnsi="仿宋" w:eastAsia="仿宋" w:cs="仿宋"/>
                <w:szCs w:val="21"/>
              </w:rPr>
              <w:t>(2)投标文件上法定代表人或其委托代理人的签字、投标人的单位章盖章齐全，符合招标文件规定。</w:t>
            </w:r>
            <w:bookmarkEnd w:id="56"/>
          </w:p>
          <w:p>
            <w:pPr>
              <w:ind w:firstLine="210" w:firstLineChars="100"/>
              <w:rPr>
                <w:rFonts w:hint="eastAsia" w:ascii="仿宋" w:hAnsi="仿宋" w:eastAsia="仿宋" w:cs="仿宋"/>
                <w:szCs w:val="21"/>
              </w:rPr>
            </w:pPr>
            <w:bookmarkStart w:id="57" w:name="_Toc127370715"/>
            <w:r>
              <w:rPr>
                <w:rFonts w:hint="eastAsia" w:ascii="仿宋" w:hAnsi="仿宋" w:eastAsia="仿宋" w:cs="仿宋"/>
                <w:szCs w:val="21"/>
              </w:rPr>
              <w:t>(3)投标报价未超过招标文件设定的最高投标限价。</w:t>
            </w:r>
            <w:bookmarkEnd w:id="57"/>
          </w:p>
          <w:p>
            <w:pPr>
              <w:ind w:firstLine="210" w:firstLineChars="100"/>
              <w:rPr>
                <w:rFonts w:hint="eastAsia" w:ascii="仿宋" w:hAnsi="仿宋" w:eastAsia="仿宋" w:cs="仿宋"/>
                <w:szCs w:val="21"/>
              </w:rPr>
            </w:pPr>
            <w:bookmarkStart w:id="58" w:name="_Toc127370716"/>
            <w:r>
              <w:rPr>
                <w:rFonts w:hint="eastAsia" w:ascii="仿宋" w:hAnsi="仿宋" w:eastAsia="仿宋" w:cs="仿宋"/>
                <w:szCs w:val="21"/>
              </w:rPr>
              <w:t>(4)投标函中报价的大写金额能够确定具体数值。</w:t>
            </w:r>
            <w:bookmarkEnd w:id="58"/>
          </w:p>
          <w:p>
            <w:pPr>
              <w:ind w:firstLine="210" w:firstLineChars="100"/>
              <w:rPr>
                <w:rFonts w:hint="eastAsia" w:ascii="仿宋" w:hAnsi="仿宋" w:eastAsia="仿宋" w:cs="仿宋"/>
                <w:szCs w:val="21"/>
              </w:rPr>
            </w:pPr>
            <w:bookmarkStart w:id="59" w:name="_Toc127370717"/>
            <w:r>
              <w:rPr>
                <w:rFonts w:hint="eastAsia" w:ascii="仿宋" w:hAnsi="仿宋" w:eastAsia="仿宋" w:cs="仿宋"/>
                <w:szCs w:val="21"/>
              </w:rPr>
              <w:t>(5)同一投标人未提交两个以上不同的投标报价。</w:t>
            </w:r>
            <w:bookmarkEnd w:id="59"/>
          </w:p>
          <w:p>
            <w:pPr>
              <w:ind w:firstLine="210" w:firstLineChars="100"/>
              <w:rPr>
                <w:rFonts w:hint="eastAsia" w:ascii="仿宋" w:hAnsi="仿宋" w:eastAsia="仿宋" w:cs="仿宋"/>
                <w:szCs w:val="21"/>
              </w:rPr>
            </w:pPr>
            <w:bookmarkStart w:id="60" w:name="_Toc127370718"/>
            <w:r>
              <w:rPr>
                <w:rFonts w:hint="eastAsia" w:ascii="仿宋" w:hAnsi="仿宋" w:eastAsia="仿宋" w:cs="仿宋"/>
                <w:szCs w:val="21"/>
              </w:rPr>
              <w:t>(6)投标人未提交调价函。</w:t>
            </w:r>
            <w:bookmarkEnd w:id="60"/>
          </w:p>
          <w:p>
            <w:pPr>
              <w:ind w:firstLine="210" w:firstLineChars="100"/>
              <w:rPr>
                <w:rFonts w:hint="eastAsia" w:ascii="仿宋" w:hAnsi="仿宋" w:eastAsia="仿宋" w:cs="仿宋"/>
                <w:szCs w:val="21"/>
              </w:rPr>
            </w:pPr>
            <w:bookmarkStart w:id="61" w:name="_Toc127370719"/>
            <w:r>
              <w:rPr>
                <w:rFonts w:hint="eastAsia" w:ascii="仿宋" w:hAnsi="仿宋" w:eastAsia="仿宋" w:cs="仿宋"/>
                <w:szCs w:val="21"/>
              </w:rPr>
              <w:t>(7)投标人填写完毕的工程量清单未对工程量清单中的数据、格式进行修改；工程量清单中的投标报价和投标函大写金额报价一致。</w:t>
            </w:r>
            <w:bookmarkEnd w:id="61"/>
          </w:p>
          <w:p>
            <w:pPr>
              <w:ind w:firstLine="210" w:firstLineChars="100"/>
              <w:rPr>
                <w:rFonts w:hint="eastAsia" w:ascii="仿宋" w:hAnsi="仿宋" w:eastAsia="仿宋" w:cs="仿宋"/>
                <w:szCs w:val="21"/>
              </w:rPr>
            </w:pPr>
            <w:bookmarkStart w:id="62" w:name="_Toc127370720"/>
            <w:r>
              <w:rPr>
                <w:rFonts w:hint="eastAsia" w:ascii="仿宋" w:hAnsi="仿宋" w:eastAsia="仿宋" w:cs="仿宋"/>
                <w:szCs w:val="21"/>
              </w:rPr>
              <w:t>投标文件未满足以上任一条件的，其投标视为无效，评标委员会将否决其投标。</w:t>
            </w:r>
            <w:bookmarkEnd w:id="6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30" w:hRule="atLeast"/>
          <w:jc w:val="center"/>
        </w:trPr>
        <w:tc>
          <w:tcPr>
            <w:tcW w:w="1068" w:type="dxa"/>
            <w:tcBorders>
              <w:top w:val="single" w:color="auto" w:sz="4" w:space="0"/>
              <w:right w:val="single" w:color="auto" w:sz="4" w:space="0"/>
            </w:tcBorders>
            <w:vAlign w:val="center"/>
          </w:tcPr>
          <w:p>
            <w:pPr>
              <w:jc w:val="center"/>
              <w:rPr>
                <w:rFonts w:hint="eastAsia" w:ascii="仿宋" w:hAnsi="仿宋" w:eastAsia="仿宋" w:cs="仿宋"/>
                <w:szCs w:val="21"/>
              </w:rPr>
            </w:pPr>
            <w:bookmarkStart w:id="63" w:name="_Toc127370721"/>
            <w:r>
              <w:rPr>
                <w:rFonts w:hint="eastAsia" w:ascii="仿宋" w:hAnsi="仿宋" w:eastAsia="仿宋" w:cs="仿宋"/>
                <w:szCs w:val="21"/>
              </w:rPr>
              <w:t>2.1.2</w:t>
            </w:r>
            <w:bookmarkEnd w:id="63"/>
          </w:p>
        </w:tc>
        <w:tc>
          <w:tcPr>
            <w:tcW w:w="907" w:type="dxa"/>
            <w:tcBorders>
              <w:top w:val="single" w:color="auto" w:sz="4" w:space="0"/>
              <w:right w:val="single" w:color="auto" w:sz="4" w:space="0"/>
            </w:tcBorders>
            <w:vAlign w:val="center"/>
          </w:tcPr>
          <w:p>
            <w:pPr>
              <w:jc w:val="center"/>
              <w:rPr>
                <w:rFonts w:hint="eastAsia" w:ascii="仿宋" w:hAnsi="仿宋" w:eastAsia="仿宋" w:cs="仿宋"/>
                <w:szCs w:val="21"/>
              </w:rPr>
            </w:pPr>
            <w:bookmarkStart w:id="64" w:name="_Toc127370722"/>
            <w:r>
              <w:rPr>
                <w:rFonts w:hint="eastAsia" w:ascii="仿宋" w:hAnsi="仿宋" w:eastAsia="仿宋" w:cs="仿宋"/>
                <w:szCs w:val="21"/>
              </w:rPr>
              <w:t>资格评审</w:t>
            </w:r>
            <w:bookmarkEnd w:id="64"/>
            <w:bookmarkStart w:id="65" w:name="_Toc127370723"/>
            <w:r>
              <w:rPr>
                <w:rFonts w:hint="eastAsia" w:ascii="仿宋" w:hAnsi="仿宋" w:eastAsia="仿宋" w:cs="仿宋"/>
                <w:szCs w:val="21"/>
              </w:rPr>
              <w:t>标准</w:t>
            </w:r>
            <w:bookmarkEnd w:id="65"/>
          </w:p>
        </w:tc>
        <w:tc>
          <w:tcPr>
            <w:tcW w:w="7076" w:type="dxa"/>
            <w:tcBorders>
              <w:top w:val="single" w:color="auto" w:sz="4" w:space="0"/>
              <w:left w:val="single" w:color="auto" w:sz="4" w:space="0"/>
              <w:right w:val="single" w:color="auto" w:sz="4" w:space="0"/>
            </w:tcBorders>
            <w:vAlign w:val="center"/>
          </w:tcPr>
          <w:p>
            <w:pPr>
              <w:ind w:firstLine="210" w:firstLineChars="100"/>
              <w:rPr>
                <w:rFonts w:hint="eastAsia" w:ascii="仿宋" w:hAnsi="仿宋" w:eastAsia="仿宋" w:cs="仿宋"/>
                <w:szCs w:val="21"/>
              </w:rPr>
            </w:pPr>
            <w:bookmarkStart w:id="66" w:name="_Toc127370724"/>
            <w:r>
              <w:rPr>
                <w:rFonts w:hint="eastAsia" w:ascii="仿宋" w:hAnsi="仿宋" w:eastAsia="仿宋" w:cs="仿宋"/>
                <w:szCs w:val="21"/>
              </w:rPr>
              <w:t>(1)投标人具备有效的营业执照、资质证书、安全生产许可证和基本账户开户许可证(或基本存款账户证明)。</w:t>
            </w:r>
            <w:bookmarkEnd w:id="66"/>
          </w:p>
          <w:p>
            <w:pPr>
              <w:ind w:firstLine="210" w:firstLineChars="100"/>
              <w:rPr>
                <w:rFonts w:hint="eastAsia" w:ascii="仿宋" w:hAnsi="仿宋" w:eastAsia="仿宋" w:cs="仿宋"/>
                <w:szCs w:val="21"/>
              </w:rPr>
            </w:pPr>
            <w:bookmarkStart w:id="67" w:name="_Toc127370725"/>
            <w:r>
              <w:rPr>
                <w:rFonts w:hint="eastAsia" w:ascii="仿宋" w:hAnsi="仿宋" w:eastAsia="仿宋" w:cs="仿宋"/>
                <w:szCs w:val="21"/>
              </w:rPr>
              <w:t>(2)投标人的资质等级符合招标文件规定。</w:t>
            </w:r>
            <w:bookmarkEnd w:id="67"/>
          </w:p>
          <w:p>
            <w:pPr>
              <w:ind w:firstLine="210" w:firstLineChars="100"/>
              <w:rPr>
                <w:rFonts w:hint="eastAsia" w:ascii="仿宋" w:hAnsi="仿宋" w:eastAsia="仿宋" w:cs="仿宋"/>
                <w:szCs w:val="21"/>
              </w:rPr>
            </w:pPr>
            <w:bookmarkStart w:id="68" w:name="_Toc127370726"/>
            <w:r>
              <w:rPr>
                <w:rFonts w:hint="eastAsia" w:ascii="仿宋" w:hAnsi="仿宋" w:eastAsia="仿宋" w:cs="仿宋"/>
                <w:szCs w:val="21"/>
              </w:rPr>
              <w:t>(3)投标人的财务状况符合招标文件规定。</w:t>
            </w:r>
            <w:bookmarkEnd w:id="68"/>
          </w:p>
          <w:p>
            <w:pPr>
              <w:ind w:firstLine="210" w:firstLineChars="100"/>
              <w:rPr>
                <w:rFonts w:hint="eastAsia" w:ascii="仿宋" w:hAnsi="仿宋" w:eastAsia="仿宋" w:cs="仿宋"/>
                <w:szCs w:val="21"/>
              </w:rPr>
            </w:pPr>
            <w:bookmarkStart w:id="69" w:name="_Toc127370727"/>
            <w:r>
              <w:rPr>
                <w:rFonts w:hint="eastAsia" w:ascii="仿宋" w:hAnsi="仿宋" w:eastAsia="仿宋" w:cs="仿宋"/>
                <w:szCs w:val="21"/>
              </w:rPr>
              <w:t>(4)投标人的类似项目业绩符合招标文件规定。</w:t>
            </w:r>
            <w:bookmarkEnd w:id="69"/>
          </w:p>
          <w:p>
            <w:pPr>
              <w:ind w:firstLine="210" w:firstLineChars="100"/>
              <w:rPr>
                <w:rFonts w:hint="eastAsia" w:ascii="仿宋" w:hAnsi="仿宋" w:eastAsia="仿宋" w:cs="仿宋"/>
                <w:szCs w:val="21"/>
              </w:rPr>
            </w:pPr>
            <w:bookmarkStart w:id="70" w:name="_Toc127370728"/>
            <w:r>
              <w:rPr>
                <w:rFonts w:hint="eastAsia" w:ascii="仿宋" w:hAnsi="仿宋" w:eastAsia="仿宋" w:cs="仿宋"/>
                <w:szCs w:val="21"/>
              </w:rPr>
              <w:t>(5)投标人的信誉符合招标文件规定。</w:t>
            </w:r>
            <w:bookmarkEnd w:id="70"/>
          </w:p>
          <w:p>
            <w:pPr>
              <w:ind w:firstLine="210" w:firstLineChars="100"/>
              <w:rPr>
                <w:rFonts w:hint="eastAsia" w:ascii="仿宋" w:hAnsi="仿宋" w:eastAsia="仿宋" w:cs="仿宋"/>
                <w:szCs w:val="21"/>
              </w:rPr>
            </w:pPr>
            <w:bookmarkStart w:id="71" w:name="_Toc127370729"/>
            <w:r>
              <w:rPr>
                <w:rFonts w:hint="eastAsia" w:ascii="仿宋" w:hAnsi="仿宋" w:eastAsia="仿宋" w:cs="仿宋"/>
                <w:szCs w:val="21"/>
              </w:rPr>
              <w:t>(6)投标人的项目经理和项目总工资格、在岗情况符合招标文件规定。</w:t>
            </w:r>
            <w:bookmarkEnd w:id="71"/>
          </w:p>
          <w:p>
            <w:pPr>
              <w:ind w:firstLine="210" w:firstLineChars="100"/>
              <w:rPr>
                <w:rFonts w:hint="eastAsia" w:ascii="仿宋" w:hAnsi="仿宋" w:eastAsia="仿宋" w:cs="仿宋"/>
                <w:szCs w:val="21"/>
              </w:rPr>
            </w:pPr>
            <w:bookmarkStart w:id="72" w:name="_Toc127370730"/>
            <w:r>
              <w:rPr>
                <w:rFonts w:hint="eastAsia" w:ascii="仿宋" w:hAnsi="仿宋" w:eastAsia="仿宋" w:cs="仿宋"/>
                <w:szCs w:val="21"/>
              </w:rPr>
              <w:t>(7)投标人的其他要求符合招标文件规定。</w:t>
            </w:r>
            <w:bookmarkEnd w:id="72"/>
          </w:p>
          <w:p>
            <w:pPr>
              <w:ind w:firstLine="210" w:firstLineChars="100"/>
              <w:rPr>
                <w:rFonts w:hint="eastAsia" w:ascii="仿宋" w:hAnsi="仿宋" w:eastAsia="仿宋" w:cs="仿宋"/>
                <w:szCs w:val="21"/>
              </w:rPr>
            </w:pPr>
            <w:bookmarkStart w:id="73" w:name="_Toc127370731"/>
            <w:r>
              <w:rPr>
                <w:rFonts w:hint="eastAsia" w:ascii="仿宋" w:hAnsi="仿宋" w:eastAsia="仿宋" w:cs="仿宋"/>
                <w:szCs w:val="21"/>
              </w:rPr>
              <w:t>(8)投标人不存在第二章“投标人须知”第1.4.3项或第1.4.4项规定的任何一种情形。</w:t>
            </w:r>
            <w:bookmarkEnd w:id="73"/>
          </w:p>
          <w:p>
            <w:pPr>
              <w:ind w:firstLine="210" w:firstLineChars="100"/>
              <w:rPr>
                <w:rFonts w:hint="eastAsia" w:ascii="仿宋" w:hAnsi="仿宋" w:eastAsia="仿宋" w:cs="仿宋"/>
                <w:szCs w:val="21"/>
              </w:rPr>
            </w:pPr>
            <w:bookmarkStart w:id="74" w:name="_Toc127370732"/>
            <w:r>
              <w:rPr>
                <w:rFonts w:hint="eastAsia" w:ascii="仿宋" w:hAnsi="仿宋" w:eastAsia="仿宋" w:cs="仿宋"/>
                <w:szCs w:val="21"/>
              </w:rPr>
              <w:t>(9)投标人符合第二章“投标人须知”第1.4.5项规定。</w:t>
            </w:r>
            <w:bookmarkEnd w:id="74"/>
          </w:p>
          <w:p>
            <w:pPr>
              <w:ind w:firstLine="210" w:firstLineChars="100"/>
              <w:rPr>
                <w:rFonts w:hint="eastAsia" w:ascii="仿宋" w:hAnsi="仿宋" w:eastAsia="仿宋" w:cs="仿宋"/>
                <w:szCs w:val="21"/>
              </w:rPr>
            </w:pPr>
            <w:bookmarkStart w:id="75" w:name="_Toc127370733"/>
            <w:r>
              <w:rPr>
                <w:rFonts w:hint="eastAsia" w:ascii="仿宋" w:hAnsi="仿宋" w:eastAsia="仿宋" w:cs="仿宋"/>
                <w:szCs w:val="21"/>
              </w:rPr>
              <w:t>投标文件未满足以上任一条件的，其投标视为无效，评标委员会将否决其投标。</w:t>
            </w:r>
            <w:bookmarkEnd w:id="7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68" w:type="dxa"/>
            <w:tcBorders>
              <w:top w:val="single" w:color="auto" w:sz="4" w:space="0"/>
              <w:right w:val="single" w:color="auto" w:sz="4" w:space="0"/>
            </w:tcBorders>
            <w:vAlign w:val="center"/>
          </w:tcPr>
          <w:p>
            <w:pPr>
              <w:jc w:val="center"/>
              <w:rPr>
                <w:rFonts w:hint="eastAsia" w:ascii="仿宋" w:hAnsi="仿宋" w:eastAsia="仿宋" w:cs="仿宋"/>
                <w:szCs w:val="21"/>
              </w:rPr>
            </w:pPr>
            <w:bookmarkStart w:id="76" w:name="_Toc127370734"/>
            <w:r>
              <w:rPr>
                <w:rFonts w:hint="eastAsia" w:ascii="仿宋" w:hAnsi="仿宋" w:eastAsia="仿宋" w:cs="仿宋"/>
                <w:szCs w:val="21"/>
              </w:rPr>
              <w:t>2.2.1</w:t>
            </w:r>
            <w:bookmarkEnd w:id="76"/>
          </w:p>
        </w:tc>
        <w:tc>
          <w:tcPr>
            <w:tcW w:w="907" w:type="dxa"/>
            <w:tcBorders>
              <w:top w:val="single" w:color="auto" w:sz="4" w:space="0"/>
              <w:right w:val="single" w:color="auto" w:sz="4" w:space="0"/>
            </w:tcBorders>
            <w:vAlign w:val="center"/>
          </w:tcPr>
          <w:p>
            <w:pPr>
              <w:jc w:val="center"/>
              <w:rPr>
                <w:rFonts w:hint="eastAsia" w:ascii="仿宋" w:hAnsi="仿宋" w:eastAsia="仿宋" w:cs="仿宋"/>
                <w:szCs w:val="21"/>
              </w:rPr>
            </w:pPr>
            <w:bookmarkStart w:id="77" w:name="_Toc127370735"/>
            <w:r>
              <w:rPr>
                <w:rFonts w:hint="eastAsia" w:ascii="仿宋" w:hAnsi="仿宋" w:eastAsia="仿宋" w:cs="仿宋"/>
                <w:szCs w:val="21"/>
              </w:rPr>
              <w:t>第一个信封评分分值构成(总分100分)</w:t>
            </w:r>
            <w:bookmarkEnd w:id="77"/>
          </w:p>
        </w:tc>
        <w:tc>
          <w:tcPr>
            <w:tcW w:w="7076" w:type="dxa"/>
            <w:tcBorders>
              <w:top w:val="single" w:color="auto" w:sz="4" w:space="0"/>
              <w:left w:val="single" w:color="auto" w:sz="4" w:space="0"/>
              <w:right w:val="single" w:color="auto" w:sz="4" w:space="0"/>
            </w:tcBorders>
            <w:vAlign w:val="center"/>
          </w:tcPr>
          <w:p>
            <w:pPr>
              <w:ind w:firstLine="210" w:firstLineChars="100"/>
              <w:rPr>
                <w:rFonts w:hint="eastAsia" w:ascii="仿宋" w:hAnsi="仿宋" w:eastAsia="仿宋" w:cs="仿宋"/>
                <w:szCs w:val="21"/>
              </w:rPr>
            </w:pPr>
            <w:bookmarkStart w:id="78" w:name="_Toc127370736"/>
            <w:r>
              <w:rPr>
                <w:rFonts w:hint="eastAsia" w:ascii="仿宋" w:hAnsi="仿宋" w:eastAsia="仿宋" w:cs="仿宋"/>
                <w:szCs w:val="21"/>
              </w:rPr>
              <w:t>施工组织设计：40分</w:t>
            </w:r>
            <w:bookmarkEnd w:id="78"/>
          </w:p>
          <w:p>
            <w:pPr>
              <w:ind w:firstLine="210" w:firstLineChars="100"/>
              <w:rPr>
                <w:rFonts w:hint="eastAsia" w:ascii="仿宋" w:hAnsi="仿宋" w:eastAsia="仿宋" w:cs="仿宋"/>
                <w:szCs w:val="21"/>
              </w:rPr>
            </w:pPr>
            <w:bookmarkStart w:id="79" w:name="_Toc127370737"/>
            <w:r>
              <w:rPr>
                <w:rFonts w:hint="eastAsia" w:ascii="仿宋" w:hAnsi="仿宋" w:eastAsia="仿宋" w:cs="仿宋"/>
                <w:szCs w:val="21"/>
              </w:rPr>
              <w:t>主要人员：    25分</w:t>
            </w:r>
            <w:bookmarkEnd w:id="79"/>
          </w:p>
          <w:p>
            <w:pPr>
              <w:ind w:firstLine="210" w:firstLineChars="100"/>
              <w:rPr>
                <w:rFonts w:hint="eastAsia" w:ascii="仿宋" w:hAnsi="仿宋" w:eastAsia="仿宋" w:cs="仿宋"/>
                <w:szCs w:val="21"/>
              </w:rPr>
            </w:pPr>
            <w:bookmarkStart w:id="80" w:name="_Toc127370738"/>
            <w:r>
              <w:rPr>
                <w:rFonts w:hint="eastAsia" w:ascii="仿宋" w:hAnsi="仿宋" w:eastAsia="仿宋" w:cs="仿宋"/>
                <w:szCs w:val="21"/>
              </w:rPr>
              <w:t>履约信誉：    25分</w:t>
            </w:r>
            <w:bookmarkEnd w:id="80"/>
          </w:p>
          <w:p>
            <w:pPr>
              <w:ind w:firstLine="210" w:firstLineChars="100"/>
              <w:rPr>
                <w:rFonts w:hint="eastAsia" w:ascii="仿宋" w:hAnsi="仿宋" w:eastAsia="仿宋" w:cs="仿宋"/>
                <w:szCs w:val="21"/>
              </w:rPr>
            </w:pPr>
            <w:bookmarkStart w:id="81" w:name="_Toc127370739"/>
            <w:r>
              <w:rPr>
                <w:rFonts w:hint="eastAsia" w:ascii="仿宋" w:hAnsi="仿宋" w:eastAsia="仿宋" w:cs="仿宋"/>
                <w:szCs w:val="21"/>
              </w:rPr>
              <w:t>技术能力：    10分</w:t>
            </w:r>
            <w:bookmarkEnd w:id="8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8" w:type="dxa"/>
            <w:tcBorders>
              <w:top w:val="single" w:color="auto" w:sz="4" w:space="0"/>
              <w:right w:val="single" w:color="auto" w:sz="4" w:space="0"/>
            </w:tcBorders>
            <w:vAlign w:val="center"/>
          </w:tcPr>
          <w:p>
            <w:pPr>
              <w:jc w:val="center"/>
              <w:rPr>
                <w:rFonts w:hint="eastAsia" w:ascii="仿宋" w:hAnsi="仿宋" w:eastAsia="仿宋" w:cs="仿宋"/>
                <w:szCs w:val="21"/>
              </w:rPr>
            </w:pPr>
            <w:bookmarkStart w:id="82" w:name="_Toc127370740"/>
            <w:r>
              <w:rPr>
                <w:rFonts w:hint="eastAsia" w:ascii="仿宋" w:hAnsi="仿宋" w:eastAsia="仿宋" w:cs="仿宋"/>
                <w:szCs w:val="21"/>
              </w:rPr>
              <w:t>2.2.3</w:t>
            </w:r>
            <w:bookmarkEnd w:id="82"/>
          </w:p>
        </w:tc>
        <w:tc>
          <w:tcPr>
            <w:tcW w:w="907" w:type="dxa"/>
            <w:tcBorders>
              <w:top w:val="single" w:color="auto" w:sz="4" w:space="0"/>
              <w:right w:val="single" w:color="auto" w:sz="4" w:space="0"/>
            </w:tcBorders>
            <w:vAlign w:val="center"/>
          </w:tcPr>
          <w:p>
            <w:pPr>
              <w:jc w:val="center"/>
              <w:rPr>
                <w:rFonts w:hint="eastAsia" w:ascii="仿宋" w:hAnsi="仿宋" w:eastAsia="仿宋" w:cs="仿宋"/>
                <w:szCs w:val="21"/>
              </w:rPr>
            </w:pPr>
            <w:bookmarkStart w:id="83" w:name="_Toc127370741"/>
            <w:r>
              <w:rPr>
                <w:rFonts w:hint="eastAsia" w:ascii="仿宋" w:hAnsi="仿宋" w:eastAsia="仿宋" w:cs="仿宋"/>
                <w:szCs w:val="21"/>
              </w:rPr>
              <w:t>第二个信封详细评审标准</w:t>
            </w:r>
            <w:bookmarkEnd w:id="83"/>
          </w:p>
        </w:tc>
        <w:tc>
          <w:tcPr>
            <w:tcW w:w="7076" w:type="dxa"/>
            <w:tcBorders>
              <w:top w:val="single" w:color="auto" w:sz="4" w:space="0"/>
              <w:left w:val="single" w:color="auto" w:sz="4" w:space="0"/>
              <w:right w:val="single" w:color="auto" w:sz="4" w:space="0"/>
            </w:tcBorders>
            <w:vAlign w:val="center"/>
          </w:tcPr>
          <w:p>
            <w:pPr>
              <w:ind w:firstLine="210" w:firstLineChars="100"/>
              <w:rPr>
                <w:rFonts w:hint="eastAsia" w:ascii="仿宋" w:hAnsi="仿宋" w:eastAsia="仿宋" w:cs="仿宋"/>
                <w:szCs w:val="21"/>
              </w:rPr>
            </w:pPr>
            <w:bookmarkStart w:id="84" w:name="_Toc127370742"/>
            <w:r>
              <w:rPr>
                <w:rFonts w:hint="eastAsia" w:ascii="仿宋" w:hAnsi="仿宋" w:eastAsia="仿宋" w:cs="仿宋"/>
                <w:szCs w:val="21"/>
              </w:rPr>
              <w:t>评标价计算公式：</w:t>
            </w:r>
            <w:bookmarkEnd w:id="84"/>
          </w:p>
          <w:p>
            <w:pPr>
              <w:ind w:firstLine="210" w:firstLineChars="100"/>
              <w:rPr>
                <w:rFonts w:hint="eastAsia" w:ascii="仿宋" w:hAnsi="仿宋" w:eastAsia="仿宋" w:cs="仿宋"/>
                <w:szCs w:val="21"/>
              </w:rPr>
            </w:pPr>
            <w:bookmarkStart w:id="85" w:name="_Toc127370743"/>
            <w:r>
              <w:rPr>
                <w:rFonts w:hint="eastAsia" w:ascii="仿宋" w:hAnsi="仿宋" w:eastAsia="仿宋" w:cs="仿宋"/>
                <w:szCs w:val="21"/>
              </w:rPr>
              <w:t>评标价＝</w:t>
            </w:r>
            <w:bookmarkEnd w:id="85"/>
            <w:r>
              <w:rPr>
                <w:rFonts w:hint="eastAsia" w:ascii="仿宋" w:hAnsi="仿宋" w:eastAsia="仿宋" w:cs="仿宋"/>
                <w:szCs w:val="21"/>
              </w:rPr>
              <w:t>投标函中的投标总报价-暂列金额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68" w:type="dxa"/>
            <w:tcBorders>
              <w:top w:val="single" w:color="auto" w:sz="4" w:space="0"/>
              <w:right w:val="single" w:color="auto" w:sz="4" w:space="0"/>
            </w:tcBorders>
            <w:vAlign w:val="center"/>
          </w:tcPr>
          <w:p>
            <w:pPr>
              <w:jc w:val="center"/>
              <w:rPr>
                <w:rFonts w:hint="eastAsia" w:ascii="仿宋" w:hAnsi="仿宋" w:eastAsia="仿宋" w:cs="仿宋"/>
                <w:szCs w:val="21"/>
              </w:rPr>
            </w:pPr>
            <w:bookmarkStart w:id="86" w:name="_Toc127370744"/>
            <w:r>
              <w:rPr>
                <w:rFonts w:hint="eastAsia" w:ascii="仿宋" w:hAnsi="仿宋" w:eastAsia="仿宋" w:cs="仿宋"/>
                <w:szCs w:val="21"/>
              </w:rPr>
              <w:t>3.2.4</w:t>
            </w:r>
            <w:bookmarkEnd w:id="86"/>
          </w:p>
        </w:tc>
        <w:tc>
          <w:tcPr>
            <w:tcW w:w="907" w:type="dxa"/>
            <w:tcBorders>
              <w:top w:val="single" w:color="auto" w:sz="4" w:space="0"/>
              <w:right w:val="single" w:color="auto" w:sz="4" w:space="0"/>
            </w:tcBorders>
            <w:vAlign w:val="center"/>
          </w:tcPr>
          <w:p>
            <w:pPr>
              <w:jc w:val="center"/>
              <w:rPr>
                <w:rFonts w:hint="eastAsia" w:ascii="仿宋" w:hAnsi="仿宋" w:eastAsia="仿宋" w:cs="仿宋"/>
                <w:szCs w:val="21"/>
              </w:rPr>
            </w:pPr>
            <w:bookmarkStart w:id="87" w:name="_Toc127370745"/>
            <w:r>
              <w:rPr>
                <w:rFonts w:hint="eastAsia" w:ascii="仿宋" w:hAnsi="仿宋" w:eastAsia="仿宋" w:cs="仿宋"/>
                <w:szCs w:val="21"/>
              </w:rPr>
              <w:t>通过第一个信封详细评审的投标人数量</w:t>
            </w:r>
            <w:bookmarkEnd w:id="87"/>
          </w:p>
        </w:tc>
        <w:tc>
          <w:tcPr>
            <w:tcW w:w="7076" w:type="dxa"/>
            <w:tcBorders>
              <w:top w:val="single" w:color="auto" w:sz="4" w:space="0"/>
              <w:left w:val="single" w:color="auto" w:sz="4" w:space="0"/>
              <w:right w:val="single" w:color="auto" w:sz="4" w:space="0"/>
            </w:tcBorders>
            <w:vAlign w:val="center"/>
          </w:tcPr>
          <w:p>
            <w:pPr>
              <w:ind w:firstLine="210" w:firstLineChars="100"/>
              <w:rPr>
                <w:rFonts w:hint="eastAsia" w:ascii="仿宋" w:hAnsi="仿宋" w:eastAsia="仿宋" w:cs="仿宋"/>
                <w:szCs w:val="21"/>
              </w:rPr>
            </w:pPr>
            <w:bookmarkStart w:id="88" w:name="_Toc127370746"/>
            <w:r>
              <w:rPr>
                <w:rFonts w:hint="eastAsia" w:ascii="仿宋" w:hAnsi="仿宋" w:eastAsia="仿宋" w:cs="仿宋"/>
                <w:szCs w:val="21"/>
              </w:rPr>
              <w:t>按照投标人的商务和技术得分由高到低排序，选择前3名通过详细评审，对排名在前3名的投标人的投标文件第二个信封进行评审。</w:t>
            </w:r>
            <w:bookmarkEnd w:id="88"/>
          </w:p>
          <w:p>
            <w:pPr>
              <w:ind w:firstLine="210" w:firstLineChars="100"/>
              <w:rPr>
                <w:rFonts w:hint="eastAsia" w:ascii="仿宋" w:hAnsi="仿宋" w:eastAsia="仿宋" w:cs="仿宋"/>
                <w:szCs w:val="21"/>
              </w:rPr>
            </w:pPr>
            <w:bookmarkStart w:id="89" w:name="_Toc127370747"/>
            <w:r>
              <w:rPr>
                <w:rFonts w:hint="eastAsia" w:ascii="仿宋" w:hAnsi="仿宋" w:eastAsia="仿宋" w:cs="仿宋"/>
                <w:szCs w:val="21"/>
              </w:rPr>
              <w:t>若存在商务和技术得分总分相等的情况，则依次按照施工组织设计、主要人员、技术能力、履约信誉、单位业绩各单项评分因素的由高到低排序；各单项评分因素也相等的，按投标文件递交时间先后排序，先递交的排序靠前。</w:t>
            </w:r>
            <w:bookmarkEnd w:id="89"/>
          </w:p>
        </w:tc>
      </w:tr>
    </w:tbl>
    <w:tbl>
      <w:tblPr>
        <w:tblStyle w:val="6"/>
        <w:tblpPr w:leftFromText="180" w:rightFromText="180" w:vertAnchor="text" w:horzAnchor="page" w:tblpX="1508" w:tblpY="289"/>
        <w:tblOverlap w:val="never"/>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765"/>
        <w:gridCol w:w="851"/>
        <w:gridCol w:w="1559"/>
        <w:gridCol w:w="425"/>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668" w:type="dxa"/>
            <w:gridSpan w:val="5"/>
            <w:tcBorders>
              <w:top w:val="single" w:color="auto" w:sz="4" w:space="0"/>
            </w:tcBorders>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评分因素与权重分值</w:t>
            </w:r>
            <w:r>
              <w:rPr>
                <w:rFonts w:hint="eastAsia" w:ascii="仿宋" w:hAnsi="仿宋" w:eastAsia="仿宋" w:cs="仿宋"/>
                <w:spacing w:val="-4"/>
                <w:szCs w:val="21"/>
              </w:rPr>
              <w:footnoteReference w:id="0"/>
            </w:r>
          </w:p>
        </w:tc>
        <w:tc>
          <w:tcPr>
            <w:tcW w:w="4383" w:type="dxa"/>
            <w:vMerge w:val="restart"/>
            <w:tcBorders>
              <w:top w:val="single" w:color="auto" w:sz="4" w:space="0"/>
            </w:tcBorders>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068" w:type="dxa"/>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条款号</w:t>
            </w:r>
          </w:p>
        </w:tc>
        <w:tc>
          <w:tcPr>
            <w:tcW w:w="765" w:type="dxa"/>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评分因素</w:t>
            </w:r>
          </w:p>
        </w:tc>
        <w:tc>
          <w:tcPr>
            <w:tcW w:w="851" w:type="dxa"/>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评分因素权重分值</w:t>
            </w:r>
          </w:p>
        </w:tc>
        <w:tc>
          <w:tcPr>
            <w:tcW w:w="1559" w:type="dxa"/>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各评分因素细分项</w:t>
            </w:r>
          </w:p>
        </w:tc>
        <w:tc>
          <w:tcPr>
            <w:tcW w:w="425" w:type="dxa"/>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分值</w:t>
            </w:r>
          </w:p>
        </w:tc>
        <w:tc>
          <w:tcPr>
            <w:tcW w:w="4383" w:type="dxa"/>
            <w:vMerge w:val="continue"/>
            <w:vAlign w:val="center"/>
          </w:tcPr>
          <w:p>
            <w:pPr>
              <w:jc w:val="center"/>
              <w:rPr>
                <w:rFonts w:hint="eastAsia" w:ascii="仿宋" w:hAnsi="仿宋" w:eastAsia="仿宋" w:cs="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068" w:type="dxa"/>
            <w:vMerge w:val="restart"/>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2.2.2(1)</w:t>
            </w:r>
          </w:p>
        </w:tc>
        <w:tc>
          <w:tcPr>
            <w:tcW w:w="765" w:type="dxa"/>
            <w:vMerge w:val="restart"/>
            <w:vAlign w:val="center"/>
          </w:tcPr>
          <w:p>
            <w:pPr>
              <w:jc w:val="center"/>
              <w:rPr>
                <w:rFonts w:hint="eastAsia" w:ascii="仿宋" w:hAnsi="仿宋" w:eastAsia="仿宋" w:cs="仿宋"/>
                <w:szCs w:val="21"/>
              </w:rPr>
            </w:pPr>
            <w:r>
              <w:rPr>
                <w:rFonts w:hint="eastAsia" w:ascii="仿宋" w:hAnsi="仿宋" w:eastAsia="仿宋" w:cs="仿宋"/>
                <w:szCs w:val="21"/>
              </w:rPr>
              <w:t>施工组织设计</w:t>
            </w:r>
          </w:p>
        </w:tc>
        <w:tc>
          <w:tcPr>
            <w:tcW w:w="851" w:type="dxa"/>
            <w:vMerge w:val="restart"/>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40分</w:t>
            </w:r>
          </w:p>
        </w:tc>
        <w:tc>
          <w:tcPr>
            <w:tcW w:w="1559" w:type="dxa"/>
            <w:vAlign w:val="center"/>
          </w:tcPr>
          <w:p>
            <w:pPr>
              <w:rPr>
                <w:rFonts w:hint="eastAsia" w:ascii="仿宋" w:hAnsi="仿宋" w:eastAsia="仿宋" w:cs="仿宋"/>
                <w:spacing w:val="-4"/>
                <w:szCs w:val="21"/>
              </w:rPr>
            </w:pPr>
            <w:r>
              <w:rPr>
                <w:rFonts w:hint="eastAsia" w:ascii="仿宋" w:hAnsi="仿宋" w:eastAsia="仿宋" w:cs="仿宋"/>
                <w:spacing w:val="-4"/>
                <w:szCs w:val="21"/>
              </w:rPr>
              <w:t>总体施工组织布置及规划</w:t>
            </w:r>
          </w:p>
        </w:tc>
        <w:tc>
          <w:tcPr>
            <w:tcW w:w="425" w:type="dxa"/>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5分</w:t>
            </w:r>
          </w:p>
        </w:tc>
        <w:tc>
          <w:tcPr>
            <w:tcW w:w="4383" w:type="dxa"/>
            <w:vAlign w:val="center"/>
          </w:tcPr>
          <w:p>
            <w:pPr>
              <w:rPr>
                <w:rFonts w:hint="eastAsia" w:ascii="仿宋" w:hAnsi="仿宋" w:eastAsia="仿宋" w:cs="仿宋"/>
                <w:spacing w:val="-4"/>
                <w:szCs w:val="21"/>
              </w:rPr>
            </w:pPr>
            <w:r>
              <w:rPr>
                <w:rFonts w:hint="eastAsia" w:ascii="仿宋" w:hAnsi="仿宋" w:eastAsia="仿宋" w:cs="仿宋"/>
                <w:spacing w:val="-4"/>
                <w:szCs w:val="21"/>
              </w:rPr>
              <w:t>总体施工组织布置及规划满足工程基本要求，得</w:t>
            </w:r>
            <w:r>
              <w:rPr>
                <w:rFonts w:hint="eastAsia" w:ascii="仿宋" w:hAnsi="仿宋" w:cs="仿宋"/>
                <w:spacing w:val="-4"/>
                <w:szCs w:val="21"/>
                <w:lang w:val="en-US" w:eastAsia="zh-CN"/>
              </w:rPr>
              <w:t>2</w:t>
            </w:r>
            <w:r>
              <w:rPr>
                <w:rFonts w:hint="eastAsia" w:ascii="仿宋" w:hAnsi="仿宋" w:eastAsia="仿宋" w:cs="仿宋"/>
                <w:spacing w:val="-4"/>
                <w:szCs w:val="21"/>
              </w:rPr>
              <w:t>分；</w:t>
            </w:r>
          </w:p>
          <w:p>
            <w:pPr>
              <w:rPr>
                <w:rFonts w:hint="eastAsia" w:ascii="仿宋" w:hAnsi="仿宋" w:eastAsia="仿宋" w:cs="仿宋"/>
                <w:spacing w:val="-4"/>
                <w:szCs w:val="21"/>
              </w:rPr>
            </w:pPr>
            <w:r>
              <w:rPr>
                <w:rFonts w:hint="eastAsia" w:ascii="仿宋" w:hAnsi="仿宋" w:eastAsia="仿宋" w:cs="仿宋"/>
                <w:spacing w:val="-4"/>
                <w:szCs w:val="21"/>
              </w:rPr>
              <w:t>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1" w:hRule="atLeast"/>
        </w:trPr>
        <w:tc>
          <w:tcPr>
            <w:tcW w:w="1068" w:type="dxa"/>
            <w:vMerge w:val="continue"/>
            <w:vAlign w:val="center"/>
          </w:tcPr>
          <w:p>
            <w:pPr>
              <w:jc w:val="center"/>
              <w:rPr>
                <w:rFonts w:hint="eastAsia" w:ascii="仿宋" w:hAnsi="仿宋" w:eastAsia="仿宋" w:cs="仿宋"/>
                <w:spacing w:val="-4"/>
                <w:szCs w:val="21"/>
              </w:rPr>
            </w:pPr>
          </w:p>
        </w:tc>
        <w:tc>
          <w:tcPr>
            <w:tcW w:w="765" w:type="dxa"/>
            <w:vMerge w:val="continue"/>
            <w:vAlign w:val="center"/>
          </w:tcPr>
          <w:p>
            <w:pPr>
              <w:jc w:val="center"/>
              <w:rPr>
                <w:rFonts w:hint="eastAsia" w:ascii="仿宋" w:hAnsi="仿宋" w:eastAsia="仿宋" w:cs="仿宋"/>
                <w:spacing w:val="-4"/>
                <w:szCs w:val="21"/>
              </w:rPr>
            </w:pPr>
          </w:p>
        </w:tc>
        <w:tc>
          <w:tcPr>
            <w:tcW w:w="851" w:type="dxa"/>
            <w:vMerge w:val="continue"/>
            <w:vAlign w:val="center"/>
          </w:tcPr>
          <w:p>
            <w:pPr>
              <w:jc w:val="center"/>
              <w:rPr>
                <w:rFonts w:hint="eastAsia" w:ascii="仿宋" w:hAnsi="仿宋" w:eastAsia="仿宋" w:cs="仿宋"/>
                <w:spacing w:val="-4"/>
                <w:szCs w:val="21"/>
              </w:rPr>
            </w:pPr>
          </w:p>
        </w:tc>
        <w:tc>
          <w:tcPr>
            <w:tcW w:w="1559" w:type="dxa"/>
            <w:vAlign w:val="center"/>
          </w:tcPr>
          <w:p>
            <w:pPr>
              <w:rPr>
                <w:rFonts w:hint="eastAsia" w:ascii="仿宋" w:hAnsi="仿宋" w:eastAsia="仿宋" w:cs="仿宋"/>
                <w:spacing w:val="-4"/>
                <w:szCs w:val="21"/>
              </w:rPr>
            </w:pPr>
            <w:r>
              <w:rPr>
                <w:rFonts w:hint="eastAsia" w:ascii="仿宋" w:hAnsi="仿宋" w:eastAsia="仿宋" w:cs="仿宋"/>
                <w:spacing w:val="-4"/>
                <w:szCs w:val="21"/>
              </w:rPr>
              <w:t>主要工程项目的施工方案、方法与技术措施</w:t>
            </w:r>
          </w:p>
        </w:tc>
        <w:tc>
          <w:tcPr>
            <w:tcW w:w="425" w:type="dxa"/>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10分</w:t>
            </w:r>
          </w:p>
        </w:tc>
        <w:tc>
          <w:tcPr>
            <w:tcW w:w="4383" w:type="dxa"/>
            <w:vAlign w:val="center"/>
          </w:tcPr>
          <w:p>
            <w:pPr>
              <w:rPr>
                <w:rFonts w:hint="eastAsia" w:ascii="仿宋" w:hAnsi="仿宋" w:eastAsia="仿宋" w:cs="仿宋"/>
                <w:spacing w:val="-4"/>
                <w:szCs w:val="21"/>
              </w:rPr>
            </w:pPr>
            <w:r>
              <w:rPr>
                <w:rFonts w:hint="eastAsia" w:ascii="仿宋" w:hAnsi="仿宋" w:eastAsia="仿宋" w:cs="仿宋"/>
                <w:spacing w:val="-4"/>
                <w:szCs w:val="21"/>
              </w:rPr>
              <w:t>主要工程项目的施工方案、方法与技术措施满足工程基本要求，得</w:t>
            </w:r>
            <w:r>
              <w:rPr>
                <w:rFonts w:hint="eastAsia" w:ascii="仿宋" w:hAnsi="仿宋" w:cs="仿宋"/>
                <w:spacing w:val="-4"/>
                <w:szCs w:val="21"/>
                <w:lang w:val="en-US" w:eastAsia="zh-CN"/>
              </w:rPr>
              <w:t>5</w:t>
            </w:r>
            <w:r>
              <w:rPr>
                <w:rFonts w:hint="eastAsia" w:ascii="仿宋" w:hAnsi="仿宋" w:eastAsia="仿宋" w:cs="仿宋"/>
                <w:spacing w:val="-4"/>
                <w:szCs w:val="21"/>
              </w:rPr>
              <w:t>分；</w:t>
            </w:r>
          </w:p>
          <w:p>
            <w:pPr>
              <w:rPr>
                <w:rFonts w:hint="eastAsia" w:ascii="仿宋" w:hAnsi="仿宋" w:eastAsia="仿宋" w:cs="仿宋"/>
                <w:spacing w:val="-4"/>
                <w:szCs w:val="21"/>
              </w:rPr>
            </w:pPr>
            <w:r>
              <w:rPr>
                <w:rFonts w:hint="eastAsia" w:ascii="仿宋" w:hAnsi="仿宋" w:eastAsia="仿宋" w:cs="仿宋"/>
                <w:spacing w:val="-4"/>
                <w:szCs w:val="21"/>
              </w:rPr>
              <w:t>切实可行且合理科学的，酌情加分(尤其对重点、关键和难点工程的施工方案、方法及其措施评审)，本项最高得10分。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068" w:type="dxa"/>
            <w:vMerge w:val="continue"/>
            <w:vAlign w:val="center"/>
          </w:tcPr>
          <w:p>
            <w:pPr>
              <w:jc w:val="center"/>
              <w:rPr>
                <w:rFonts w:hint="eastAsia" w:ascii="仿宋" w:hAnsi="仿宋" w:eastAsia="仿宋" w:cs="仿宋"/>
                <w:spacing w:val="-4"/>
                <w:szCs w:val="21"/>
              </w:rPr>
            </w:pPr>
          </w:p>
        </w:tc>
        <w:tc>
          <w:tcPr>
            <w:tcW w:w="765" w:type="dxa"/>
            <w:vMerge w:val="continue"/>
            <w:vAlign w:val="center"/>
          </w:tcPr>
          <w:p>
            <w:pPr>
              <w:jc w:val="center"/>
              <w:rPr>
                <w:rFonts w:hint="eastAsia" w:ascii="仿宋" w:hAnsi="仿宋" w:eastAsia="仿宋" w:cs="仿宋"/>
                <w:spacing w:val="-4"/>
                <w:szCs w:val="21"/>
              </w:rPr>
            </w:pPr>
          </w:p>
        </w:tc>
        <w:tc>
          <w:tcPr>
            <w:tcW w:w="851" w:type="dxa"/>
            <w:vMerge w:val="continue"/>
            <w:vAlign w:val="center"/>
          </w:tcPr>
          <w:p>
            <w:pPr>
              <w:jc w:val="center"/>
              <w:rPr>
                <w:rFonts w:hint="eastAsia" w:ascii="仿宋" w:hAnsi="仿宋" w:eastAsia="仿宋" w:cs="仿宋"/>
                <w:spacing w:val="-4"/>
                <w:szCs w:val="21"/>
              </w:rPr>
            </w:pPr>
          </w:p>
        </w:tc>
        <w:tc>
          <w:tcPr>
            <w:tcW w:w="1559" w:type="dxa"/>
            <w:vAlign w:val="center"/>
          </w:tcPr>
          <w:p>
            <w:pPr>
              <w:rPr>
                <w:rFonts w:hint="eastAsia" w:ascii="仿宋" w:hAnsi="仿宋" w:eastAsia="仿宋" w:cs="仿宋"/>
                <w:spacing w:val="-4"/>
                <w:szCs w:val="21"/>
              </w:rPr>
            </w:pPr>
            <w:r>
              <w:rPr>
                <w:rFonts w:hint="eastAsia" w:ascii="仿宋" w:hAnsi="仿宋" w:eastAsia="仿宋" w:cs="仿宋"/>
                <w:spacing w:val="-4"/>
                <w:szCs w:val="21"/>
              </w:rPr>
              <w:t>农民工保障措施</w:t>
            </w:r>
          </w:p>
        </w:tc>
        <w:tc>
          <w:tcPr>
            <w:tcW w:w="425" w:type="dxa"/>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3分</w:t>
            </w:r>
          </w:p>
        </w:tc>
        <w:tc>
          <w:tcPr>
            <w:tcW w:w="4383" w:type="dxa"/>
            <w:vAlign w:val="center"/>
          </w:tcPr>
          <w:p>
            <w:pPr>
              <w:rPr>
                <w:rFonts w:hint="eastAsia" w:ascii="仿宋" w:hAnsi="仿宋" w:eastAsia="仿宋" w:cs="仿宋"/>
                <w:spacing w:val="-4"/>
                <w:szCs w:val="21"/>
              </w:rPr>
            </w:pPr>
            <w:r>
              <w:rPr>
                <w:rFonts w:hint="eastAsia" w:ascii="仿宋" w:hAnsi="仿宋" w:eastAsia="仿宋" w:cs="仿宋"/>
                <w:spacing w:val="-4"/>
                <w:szCs w:val="21"/>
              </w:rPr>
              <w:t>农民工保障措施满足基本要求得1分；</w:t>
            </w:r>
          </w:p>
          <w:p>
            <w:pPr>
              <w:rPr>
                <w:rFonts w:hint="eastAsia" w:ascii="仿宋" w:hAnsi="仿宋" w:eastAsia="仿宋" w:cs="仿宋"/>
                <w:spacing w:val="-4"/>
                <w:szCs w:val="21"/>
              </w:rPr>
            </w:pPr>
            <w:r>
              <w:rPr>
                <w:rFonts w:hint="eastAsia" w:ascii="仿宋" w:hAnsi="仿宋" w:eastAsia="仿宋" w:cs="仿宋"/>
                <w:spacing w:val="-4"/>
                <w:szCs w:val="21"/>
              </w:rPr>
              <w:t>保障措施科学合理，可以切实保障农民工工资酌情加分，本项最高3分。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068" w:type="dxa"/>
            <w:vMerge w:val="continue"/>
            <w:vAlign w:val="center"/>
          </w:tcPr>
          <w:p>
            <w:pPr>
              <w:jc w:val="center"/>
              <w:rPr>
                <w:rFonts w:hint="eastAsia" w:ascii="仿宋" w:hAnsi="仿宋" w:eastAsia="仿宋" w:cs="仿宋"/>
                <w:szCs w:val="21"/>
              </w:rPr>
            </w:pPr>
          </w:p>
        </w:tc>
        <w:tc>
          <w:tcPr>
            <w:tcW w:w="765" w:type="dxa"/>
            <w:vMerge w:val="continue"/>
            <w:vAlign w:val="center"/>
          </w:tcPr>
          <w:p>
            <w:pPr>
              <w:jc w:val="center"/>
              <w:rPr>
                <w:rFonts w:hint="eastAsia" w:ascii="仿宋" w:hAnsi="仿宋" w:eastAsia="仿宋" w:cs="仿宋"/>
                <w:szCs w:val="21"/>
              </w:rPr>
            </w:pPr>
          </w:p>
        </w:tc>
        <w:tc>
          <w:tcPr>
            <w:tcW w:w="851" w:type="dxa"/>
            <w:vMerge w:val="continue"/>
            <w:vAlign w:val="center"/>
          </w:tcPr>
          <w:p>
            <w:pPr>
              <w:jc w:val="center"/>
              <w:rPr>
                <w:rFonts w:hint="eastAsia" w:ascii="仿宋" w:hAnsi="仿宋" w:eastAsia="仿宋" w:cs="仿宋"/>
                <w:szCs w:val="21"/>
                <w:u w:val="single"/>
              </w:rPr>
            </w:pPr>
          </w:p>
        </w:tc>
        <w:tc>
          <w:tcPr>
            <w:tcW w:w="1559" w:type="dxa"/>
            <w:vAlign w:val="center"/>
          </w:tcPr>
          <w:p>
            <w:pPr>
              <w:rPr>
                <w:rFonts w:hint="eastAsia" w:ascii="仿宋" w:hAnsi="仿宋" w:eastAsia="仿宋" w:cs="仿宋"/>
                <w:spacing w:val="-4"/>
                <w:szCs w:val="21"/>
              </w:rPr>
            </w:pPr>
            <w:r>
              <w:rPr>
                <w:rFonts w:hint="eastAsia" w:ascii="仿宋" w:hAnsi="仿宋" w:eastAsia="仿宋" w:cs="仿宋"/>
                <w:spacing w:val="-4"/>
                <w:szCs w:val="21"/>
              </w:rPr>
              <w:t>工程质量、工期保证体系及保证措施</w:t>
            </w:r>
          </w:p>
        </w:tc>
        <w:tc>
          <w:tcPr>
            <w:tcW w:w="425" w:type="dxa"/>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5分</w:t>
            </w:r>
          </w:p>
        </w:tc>
        <w:tc>
          <w:tcPr>
            <w:tcW w:w="4383" w:type="dxa"/>
            <w:vAlign w:val="center"/>
          </w:tcPr>
          <w:p>
            <w:pPr>
              <w:rPr>
                <w:rFonts w:hint="eastAsia" w:ascii="仿宋" w:hAnsi="仿宋" w:eastAsia="仿宋" w:cs="仿宋"/>
                <w:spacing w:val="-4"/>
                <w:szCs w:val="21"/>
              </w:rPr>
            </w:pPr>
            <w:r>
              <w:rPr>
                <w:rFonts w:hint="eastAsia" w:ascii="仿宋" w:hAnsi="仿宋" w:eastAsia="仿宋" w:cs="仿宋"/>
                <w:spacing w:val="-4"/>
                <w:szCs w:val="21"/>
              </w:rPr>
              <w:t>工程质量目标、工期符合招标文件要求，工程质量、工期保证体系及保证措施满足工程基本要求，得</w:t>
            </w:r>
            <w:r>
              <w:rPr>
                <w:rFonts w:hint="eastAsia" w:ascii="仿宋" w:hAnsi="仿宋" w:cs="仿宋"/>
                <w:spacing w:val="-4"/>
                <w:szCs w:val="21"/>
                <w:lang w:val="en-US" w:eastAsia="zh-CN"/>
              </w:rPr>
              <w:t>2</w:t>
            </w:r>
            <w:r>
              <w:rPr>
                <w:rFonts w:hint="eastAsia" w:ascii="仿宋" w:hAnsi="仿宋" w:eastAsia="仿宋" w:cs="仿宋"/>
                <w:spacing w:val="-4"/>
                <w:szCs w:val="21"/>
              </w:rPr>
              <w:t>分；</w:t>
            </w:r>
          </w:p>
          <w:p>
            <w:pPr>
              <w:rPr>
                <w:rFonts w:hint="eastAsia" w:ascii="仿宋" w:hAnsi="仿宋" w:eastAsia="仿宋" w:cs="仿宋"/>
                <w:spacing w:val="-4"/>
                <w:szCs w:val="21"/>
              </w:rPr>
            </w:pPr>
            <w:r>
              <w:rPr>
                <w:rFonts w:hint="eastAsia" w:ascii="仿宋" w:hAnsi="仿宋" w:eastAsia="仿宋" w:cs="仿宋"/>
                <w:spacing w:val="-4"/>
                <w:szCs w:val="21"/>
              </w:rPr>
              <w:t>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068" w:type="dxa"/>
            <w:vMerge w:val="continue"/>
            <w:vAlign w:val="center"/>
          </w:tcPr>
          <w:p>
            <w:pPr>
              <w:jc w:val="center"/>
              <w:rPr>
                <w:rFonts w:hint="eastAsia" w:ascii="仿宋" w:hAnsi="仿宋" w:eastAsia="仿宋" w:cs="仿宋"/>
                <w:szCs w:val="21"/>
              </w:rPr>
            </w:pPr>
          </w:p>
        </w:tc>
        <w:tc>
          <w:tcPr>
            <w:tcW w:w="765" w:type="dxa"/>
            <w:vMerge w:val="continue"/>
            <w:vAlign w:val="center"/>
          </w:tcPr>
          <w:p>
            <w:pPr>
              <w:jc w:val="center"/>
              <w:rPr>
                <w:rFonts w:hint="eastAsia" w:ascii="仿宋" w:hAnsi="仿宋" w:eastAsia="仿宋" w:cs="仿宋"/>
                <w:szCs w:val="21"/>
              </w:rPr>
            </w:pPr>
          </w:p>
        </w:tc>
        <w:tc>
          <w:tcPr>
            <w:tcW w:w="851" w:type="dxa"/>
            <w:vMerge w:val="continue"/>
            <w:vAlign w:val="center"/>
          </w:tcPr>
          <w:p>
            <w:pPr>
              <w:jc w:val="center"/>
              <w:rPr>
                <w:rFonts w:hint="eastAsia" w:ascii="仿宋" w:hAnsi="仿宋" w:eastAsia="仿宋" w:cs="仿宋"/>
                <w:szCs w:val="21"/>
                <w:u w:val="single"/>
              </w:rPr>
            </w:pPr>
          </w:p>
        </w:tc>
        <w:tc>
          <w:tcPr>
            <w:tcW w:w="1559" w:type="dxa"/>
            <w:vAlign w:val="center"/>
          </w:tcPr>
          <w:p>
            <w:pPr>
              <w:rPr>
                <w:rFonts w:hint="eastAsia" w:ascii="仿宋" w:hAnsi="仿宋" w:eastAsia="仿宋" w:cs="仿宋"/>
                <w:spacing w:val="-4"/>
                <w:szCs w:val="21"/>
              </w:rPr>
            </w:pPr>
            <w:r>
              <w:rPr>
                <w:rFonts w:hint="eastAsia" w:ascii="仿宋" w:hAnsi="仿宋" w:eastAsia="仿宋" w:cs="仿宋"/>
                <w:spacing w:val="-4"/>
                <w:szCs w:val="21"/>
              </w:rPr>
              <w:t>环境保护、水土保持保证体系及保证措施</w:t>
            </w:r>
          </w:p>
        </w:tc>
        <w:tc>
          <w:tcPr>
            <w:tcW w:w="425" w:type="dxa"/>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5分</w:t>
            </w:r>
          </w:p>
        </w:tc>
        <w:tc>
          <w:tcPr>
            <w:tcW w:w="4383" w:type="dxa"/>
            <w:vAlign w:val="center"/>
          </w:tcPr>
          <w:p>
            <w:pPr>
              <w:rPr>
                <w:rFonts w:hint="eastAsia" w:ascii="仿宋" w:hAnsi="仿宋" w:eastAsia="仿宋" w:cs="仿宋"/>
                <w:spacing w:val="-4"/>
                <w:szCs w:val="21"/>
              </w:rPr>
            </w:pPr>
            <w:r>
              <w:rPr>
                <w:rFonts w:hint="eastAsia" w:ascii="仿宋" w:hAnsi="仿宋" w:eastAsia="仿宋" w:cs="仿宋"/>
                <w:spacing w:val="-4"/>
                <w:szCs w:val="21"/>
              </w:rPr>
              <w:t>环境保护、水土保持保证体系及保证措施满足工程基本要求，得</w:t>
            </w:r>
            <w:r>
              <w:rPr>
                <w:rFonts w:hint="eastAsia" w:ascii="仿宋" w:hAnsi="仿宋" w:cs="仿宋"/>
                <w:spacing w:val="-4"/>
                <w:szCs w:val="21"/>
                <w:lang w:val="en-US" w:eastAsia="zh-CN"/>
              </w:rPr>
              <w:t>2</w:t>
            </w:r>
            <w:r>
              <w:rPr>
                <w:rFonts w:hint="eastAsia" w:ascii="仿宋" w:hAnsi="仿宋" w:eastAsia="仿宋" w:cs="仿宋"/>
                <w:spacing w:val="-4"/>
                <w:szCs w:val="21"/>
              </w:rPr>
              <w:t>分；</w:t>
            </w:r>
          </w:p>
          <w:p>
            <w:pPr>
              <w:rPr>
                <w:rFonts w:hint="eastAsia" w:ascii="仿宋" w:hAnsi="仿宋" w:eastAsia="仿宋" w:cs="仿宋"/>
                <w:spacing w:val="-4"/>
                <w:szCs w:val="21"/>
              </w:rPr>
            </w:pPr>
            <w:r>
              <w:rPr>
                <w:rFonts w:hint="eastAsia" w:ascii="仿宋" w:hAnsi="仿宋" w:eastAsia="仿宋" w:cs="仿宋"/>
                <w:spacing w:val="-4"/>
                <w:szCs w:val="21"/>
              </w:rPr>
              <w:t>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1" w:hRule="atLeast"/>
        </w:trPr>
        <w:tc>
          <w:tcPr>
            <w:tcW w:w="1068" w:type="dxa"/>
            <w:vMerge w:val="continue"/>
            <w:vAlign w:val="center"/>
          </w:tcPr>
          <w:p>
            <w:pPr>
              <w:jc w:val="center"/>
              <w:rPr>
                <w:rFonts w:hint="eastAsia" w:ascii="仿宋" w:hAnsi="仿宋" w:eastAsia="仿宋" w:cs="仿宋"/>
                <w:szCs w:val="21"/>
              </w:rPr>
            </w:pPr>
          </w:p>
        </w:tc>
        <w:tc>
          <w:tcPr>
            <w:tcW w:w="765" w:type="dxa"/>
            <w:vMerge w:val="continue"/>
            <w:vAlign w:val="center"/>
          </w:tcPr>
          <w:p>
            <w:pPr>
              <w:jc w:val="center"/>
              <w:rPr>
                <w:rFonts w:hint="eastAsia" w:ascii="仿宋" w:hAnsi="仿宋" w:eastAsia="仿宋" w:cs="仿宋"/>
                <w:szCs w:val="21"/>
              </w:rPr>
            </w:pPr>
          </w:p>
        </w:tc>
        <w:tc>
          <w:tcPr>
            <w:tcW w:w="851" w:type="dxa"/>
            <w:vMerge w:val="continue"/>
            <w:vAlign w:val="center"/>
          </w:tcPr>
          <w:p>
            <w:pPr>
              <w:jc w:val="center"/>
              <w:rPr>
                <w:rFonts w:hint="eastAsia" w:ascii="仿宋" w:hAnsi="仿宋" w:eastAsia="仿宋" w:cs="仿宋"/>
                <w:szCs w:val="21"/>
                <w:u w:val="single"/>
              </w:rPr>
            </w:pPr>
          </w:p>
        </w:tc>
        <w:tc>
          <w:tcPr>
            <w:tcW w:w="1559" w:type="dxa"/>
            <w:vAlign w:val="center"/>
          </w:tcPr>
          <w:p>
            <w:pPr>
              <w:rPr>
                <w:rFonts w:hint="eastAsia" w:ascii="仿宋" w:hAnsi="仿宋" w:eastAsia="仿宋" w:cs="仿宋"/>
                <w:spacing w:val="-4"/>
                <w:szCs w:val="21"/>
              </w:rPr>
            </w:pPr>
            <w:r>
              <w:rPr>
                <w:rFonts w:hint="eastAsia" w:ascii="仿宋" w:hAnsi="仿宋" w:eastAsia="仿宋" w:cs="仿宋"/>
                <w:spacing w:val="-4"/>
                <w:szCs w:val="21"/>
              </w:rPr>
              <w:t>文明施工、安全生产保证体系及保证措施</w:t>
            </w:r>
          </w:p>
        </w:tc>
        <w:tc>
          <w:tcPr>
            <w:tcW w:w="425" w:type="dxa"/>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5分</w:t>
            </w:r>
          </w:p>
        </w:tc>
        <w:tc>
          <w:tcPr>
            <w:tcW w:w="4383" w:type="dxa"/>
            <w:vAlign w:val="center"/>
          </w:tcPr>
          <w:p>
            <w:pPr>
              <w:rPr>
                <w:rFonts w:hint="eastAsia" w:ascii="仿宋" w:hAnsi="仿宋" w:eastAsia="仿宋" w:cs="仿宋"/>
                <w:spacing w:val="-4"/>
                <w:szCs w:val="21"/>
              </w:rPr>
            </w:pPr>
            <w:r>
              <w:rPr>
                <w:rFonts w:hint="eastAsia" w:ascii="仿宋" w:hAnsi="仿宋" w:eastAsia="仿宋" w:cs="仿宋"/>
                <w:spacing w:val="-4"/>
                <w:szCs w:val="21"/>
              </w:rPr>
              <w:t>文明施工、安全生产保证体系及保证措施满足工程基本要求，得</w:t>
            </w:r>
            <w:r>
              <w:rPr>
                <w:rFonts w:hint="eastAsia" w:ascii="仿宋" w:hAnsi="仿宋" w:cs="仿宋"/>
                <w:spacing w:val="-4"/>
                <w:szCs w:val="21"/>
                <w:lang w:val="en-US" w:eastAsia="zh-CN"/>
              </w:rPr>
              <w:t>2</w:t>
            </w:r>
            <w:r>
              <w:rPr>
                <w:rFonts w:hint="eastAsia" w:ascii="仿宋" w:hAnsi="仿宋" w:eastAsia="仿宋" w:cs="仿宋"/>
                <w:spacing w:val="-4"/>
                <w:szCs w:val="21"/>
              </w:rPr>
              <w:t>分；</w:t>
            </w:r>
          </w:p>
          <w:p>
            <w:pPr>
              <w:rPr>
                <w:rFonts w:hint="eastAsia" w:ascii="仿宋" w:hAnsi="仿宋" w:eastAsia="仿宋" w:cs="仿宋"/>
                <w:spacing w:val="-4"/>
                <w:szCs w:val="21"/>
              </w:rPr>
            </w:pPr>
            <w:r>
              <w:rPr>
                <w:rFonts w:hint="eastAsia" w:ascii="仿宋" w:hAnsi="仿宋" w:eastAsia="仿宋" w:cs="仿宋"/>
                <w:spacing w:val="-4"/>
                <w:szCs w:val="21"/>
              </w:rPr>
              <w:t>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068" w:type="dxa"/>
            <w:vMerge w:val="continue"/>
            <w:vAlign w:val="center"/>
          </w:tcPr>
          <w:p>
            <w:pPr>
              <w:jc w:val="center"/>
              <w:rPr>
                <w:rFonts w:hint="eastAsia" w:ascii="仿宋" w:hAnsi="仿宋" w:eastAsia="仿宋" w:cs="仿宋"/>
                <w:szCs w:val="21"/>
              </w:rPr>
            </w:pPr>
          </w:p>
        </w:tc>
        <w:tc>
          <w:tcPr>
            <w:tcW w:w="765" w:type="dxa"/>
            <w:vMerge w:val="continue"/>
            <w:vAlign w:val="center"/>
          </w:tcPr>
          <w:p>
            <w:pPr>
              <w:jc w:val="center"/>
              <w:rPr>
                <w:rFonts w:hint="eastAsia" w:ascii="仿宋" w:hAnsi="仿宋" w:eastAsia="仿宋" w:cs="仿宋"/>
                <w:szCs w:val="21"/>
              </w:rPr>
            </w:pPr>
          </w:p>
        </w:tc>
        <w:tc>
          <w:tcPr>
            <w:tcW w:w="851" w:type="dxa"/>
            <w:vMerge w:val="continue"/>
            <w:vAlign w:val="center"/>
          </w:tcPr>
          <w:p>
            <w:pPr>
              <w:jc w:val="center"/>
              <w:rPr>
                <w:rFonts w:hint="eastAsia" w:ascii="仿宋" w:hAnsi="仿宋" w:eastAsia="仿宋" w:cs="仿宋"/>
                <w:b/>
                <w:szCs w:val="21"/>
              </w:rPr>
            </w:pPr>
          </w:p>
        </w:tc>
        <w:tc>
          <w:tcPr>
            <w:tcW w:w="1559" w:type="dxa"/>
            <w:vAlign w:val="center"/>
          </w:tcPr>
          <w:p>
            <w:pPr>
              <w:rPr>
                <w:rFonts w:hint="eastAsia" w:ascii="仿宋" w:hAnsi="仿宋" w:eastAsia="仿宋" w:cs="仿宋"/>
                <w:spacing w:val="-4"/>
                <w:szCs w:val="21"/>
              </w:rPr>
            </w:pPr>
            <w:r>
              <w:rPr>
                <w:rFonts w:hint="eastAsia" w:ascii="仿宋" w:hAnsi="仿宋" w:eastAsia="仿宋" w:cs="仿宋"/>
                <w:spacing w:val="-4"/>
                <w:szCs w:val="21"/>
              </w:rPr>
              <w:t>项目风险预测与防范，事故应急预案</w:t>
            </w:r>
          </w:p>
        </w:tc>
        <w:tc>
          <w:tcPr>
            <w:tcW w:w="425" w:type="dxa"/>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5分</w:t>
            </w:r>
          </w:p>
        </w:tc>
        <w:tc>
          <w:tcPr>
            <w:tcW w:w="4383" w:type="dxa"/>
            <w:vAlign w:val="center"/>
          </w:tcPr>
          <w:p>
            <w:pPr>
              <w:rPr>
                <w:rFonts w:hint="eastAsia" w:ascii="仿宋" w:hAnsi="仿宋" w:eastAsia="仿宋" w:cs="仿宋"/>
                <w:spacing w:val="-4"/>
                <w:szCs w:val="21"/>
              </w:rPr>
            </w:pPr>
            <w:r>
              <w:rPr>
                <w:rFonts w:hint="eastAsia" w:ascii="仿宋" w:hAnsi="仿宋" w:eastAsia="仿宋" w:cs="仿宋"/>
                <w:spacing w:val="-4"/>
                <w:szCs w:val="21"/>
              </w:rPr>
              <w:t>项目风险预测与防范，事故应急预案满足工程基本要求，得</w:t>
            </w:r>
            <w:r>
              <w:rPr>
                <w:rFonts w:hint="eastAsia" w:ascii="仿宋" w:hAnsi="仿宋" w:cs="仿宋"/>
                <w:spacing w:val="-4"/>
                <w:szCs w:val="21"/>
                <w:lang w:val="en-US" w:eastAsia="zh-CN"/>
              </w:rPr>
              <w:t>2</w:t>
            </w:r>
            <w:r>
              <w:rPr>
                <w:rFonts w:hint="eastAsia" w:ascii="仿宋" w:hAnsi="仿宋" w:eastAsia="仿宋" w:cs="仿宋"/>
                <w:spacing w:val="-4"/>
                <w:szCs w:val="21"/>
              </w:rPr>
              <w:t>分；</w:t>
            </w:r>
          </w:p>
          <w:p>
            <w:pPr>
              <w:rPr>
                <w:rFonts w:hint="eastAsia" w:ascii="仿宋" w:hAnsi="仿宋" w:eastAsia="仿宋" w:cs="仿宋"/>
                <w:spacing w:val="-4"/>
                <w:szCs w:val="21"/>
              </w:rPr>
            </w:pPr>
            <w:r>
              <w:rPr>
                <w:rFonts w:hint="eastAsia" w:ascii="仿宋" w:hAnsi="仿宋" w:eastAsia="仿宋" w:cs="仿宋"/>
                <w:spacing w:val="-4"/>
                <w:szCs w:val="21"/>
              </w:rPr>
              <w:t>切实可行且合理科学的，酌情加分，本项最高得5分。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068" w:type="dxa"/>
            <w:vMerge w:val="continue"/>
            <w:vAlign w:val="center"/>
          </w:tcPr>
          <w:p>
            <w:pPr>
              <w:jc w:val="center"/>
              <w:rPr>
                <w:rFonts w:hint="eastAsia" w:ascii="仿宋" w:hAnsi="仿宋" w:eastAsia="仿宋" w:cs="仿宋"/>
                <w:szCs w:val="21"/>
              </w:rPr>
            </w:pPr>
          </w:p>
        </w:tc>
        <w:tc>
          <w:tcPr>
            <w:tcW w:w="765" w:type="dxa"/>
            <w:vMerge w:val="continue"/>
            <w:vAlign w:val="center"/>
          </w:tcPr>
          <w:p>
            <w:pPr>
              <w:jc w:val="center"/>
              <w:rPr>
                <w:rFonts w:hint="eastAsia" w:ascii="仿宋" w:hAnsi="仿宋" w:eastAsia="仿宋" w:cs="仿宋"/>
                <w:szCs w:val="21"/>
              </w:rPr>
            </w:pPr>
          </w:p>
        </w:tc>
        <w:tc>
          <w:tcPr>
            <w:tcW w:w="851" w:type="dxa"/>
            <w:vMerge w:val="continue"/>
            <w:vAlign w:val="center"/>
          </w:tcPr>
          <w:p>
            <w:pPr>
              <w:jc w:val="center"/>
              <w:rPr>
                <w:rFonts w:hint="eastAsia" w:ascii="仿宋" w:hAnsi="仿宋" w:eastAsia="仿宋" w:cs="仿宋"/>
                <w:b/>
                <w:szCs w:val="21"/>
              </w:rPr>
            </w:pPr>
          </w:p>
        </w:tc>
        <w:tc>
          <w:tcPr>
            <w:tcW w:w="1559" w:type="dxa"/>
            <w:vAlign w:val="center"/>
          </w:tcPr>
          <w:p>
            <w:pPr>
              <w:rPr>
                <w:rFonts w:hint="eastAsia" w:ascii="仿宋" w:hAnsi="仿宋" w:eastAsia="仿宋" w:cs="仿宋"/>
                <w:spacing w:val="-4"/>
                <w:szCs w:val="21"/>
              </w:rPr>
            </w:pPr>
            <w:r>
              <w:rPr>
                <w:rFonts w:hint="eastAsia" w:ascii="仿宋" w:hAnsi="仿宋" w:eastAsia="仿宋" w:cs="仿宋"/>
                <w:spacing w:val="-4"/>
                <w:szCs w:val="21"/>
              </w:rPr>
              <w:t>缺陷责任期工作方案、管理体系及质量保证措施</w:t>
            </w:r>
          </w:p>
        </w:tc>
        <w:tc>
          <w:tcPr>
            <w:tcW w:w="425" w:type="dxa"/>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2分</w:t>
            </w:r>
          </w:p>
        </w:tc>
        <w:tc>
          <w:tcPr>
            <w:tcW w:w="4383" w:type="dxa"/>
            <w:vAlign w:val="center"/>
          </w:tcPr>
          <w:p>
            <w:pPr>
              <w:rPr>
                <w:rFonts w:hint="eastAsia" w:ascii="仿宋" w:hAnsi="仿宋" w:eastAsia="仿宋" w:cs="仿宋"/>
                <w:spacing w:val="-4"/>
                <w:szCs w:val="21"/>
              </w:rPr>
            </w:pPr>
            <w:r>
              <w:rPr>
                <w:rFonts w:hint="eastAsia" w:ascii="仿宋" w:hAnsi="仿宋" w:eastAsia="仿宋" w:cs="仿宋"/>
                <w:spacing w:val="-4"/>
                <w:szCs w:val="21"/>
              </w:rPr>
              <w:t>缺陷责任期工作方案、管理体系及保证措施满足工程基本要求，得1分；</w:t>
            </w:r>
          </w:p>
          <w:p>
            <w:pPr>
              <w:rPr>
                <w:rFonts w:hint="eastAsia" w:ascii="仿宋" w:hAnsi="仿宋" w:eastAsia="仿宋" w:cs="仿宋"/>
                <w:spacing w:val="-4"/>
                <w:szCs w:val="21"/>
              </w:rPr>
            </w:pPr>
            <w:r>
              <w:rPr>
                <w:rFonts w:hint="eastAsia" w:ascii="仿宋" w:hAnsi="仿宋" w:eastAsia="仿宋" w:cs="仿宋"/>
                <w:spacing w:val="-4"/>
                <w:szCs w:val="21"/>
              </w:rPr>
              <w:t>切实可行且合理科学的，酌情加分，本项最高得2分。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068" w:type="dxa"/>
            <w:vMerge w:val="restart"/>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2.2.2(2)</w:t>
            </w:r>
          </w:p>
        </w:tc>
        <w:tc>
          <w:tcPr>
            <w:tcW w:w="765" w:type="dxa"/>
            <w:vMerge w:val="restart"/>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主要人员</w:t>
            </w:r>
          </w:p>
        </w:tc>
        <w:tc>
          <w:tcPr>
            <w:tcW w:w="851" w:type="dxa"/>
            <w:vMerge w:val="restart"/>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25分</w:t>
            </w:r>
          </w:p>
        </w:tc>
        <w:tc>
          <w:tcPr>
            <w:tcW w:w="1559" w:type="dxa"/>
            <w:vAlign w:val="center"/>
          </w:tcPr>
          <w:p>
            <w:pPr>
              <w:rPr>
                <w:rFonts w:hint="eastAsia" w:ascii="仿宋" w:hAnsi="仿宋" w:eastAsia="仿宋" w:cs="仿宋"/>
                <w:spacing w:val="-4"/>
                <w:szCs w:val="21"/>
              </w:rPr>
            </w:pPr>
            <w:r>
              <w:rPr>
                <w:rFonts w:hint="eastAsia" w:ascii="仿宋" w:hAnsi="仿宋" w:eastAsia="仿宋" w:cs="仿宋"/>
                <w:spacing w:val="-4"/>
                <w:szCs w:val="21"/>
              </w:rPr>
              <w:t>项目经理任职资格与业绩</w:t>
            </w:r>
          </w:p>
        </w:tc>
        <w:tc>
          <w:tcPr>
            <w:tcW w:w="425" w:type="dxa"/>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15分</w:t>
            </w:r>
          </w:p>
        </w:tc>
        <w:tc>
          <w:tcPr>
            <w:tcW w:w="4383" w:type="dxa"/>
            <w:vAlign w:val="center"/>
          </w:tcPr>
          <w:p>
            <w:pPr>
              <w:ind w:firstLine="202" w:firstLineChars="100"/>
              <w:rPr>
                <w:rFonts w:hint="eastAsia" w:ascii="仿宋" w:hAnsi="仿宋" w:eastAsia="仿宋" w:cs="仿宋"/>
                <w:spacing w:val="-4"/>
                <w:szCs w:val="21"/>
              </w:rPr>
            </w:pPr>
            <w:r>
              <w:rPr>
                <w:rFonts w:hint="eastAsia" w:ascii="仿宋" w:hAnsi="仿宋" w:eastAsia="仿宋" w:cs="仿宋"/>
                <w:spacing w:val="-4"/>
                <w:szCs w:val="21"/>
              </w:rPr>
              <w:t>(1)满足资格审查标准的得10分；</w:t>
            </w:r>
          </w:p>
          <w:p>
            <w:pPr>
              <w:ind w:firstLine="202" w:firstLineChars="100"/>
              <w:rPr>
                <w:rFonts w:hint="eastAsia" w:ascii="仿宋" w:hAnsi="仿宋" w:eastAsia="仿宋" w:cs="仿宋"/>
                <w:spacing w:val="-4"/>
                <w:szCs w:val="21"/>
              </w:rPr>
            </w:pPr>
            <w:r>
              <w:rPr>
                <w:rFonts w:hint="eastAsia" w:ascii="仿宋" w:hAnsi="仿宋" w:eastAsia="仿宋" w:cs="仿宋"/>
                <w:spacing w:val="-4"/>
                <w:szCs w:val="21"/>
              </w:rPr>
              <w:t>(2)在满足资格审查标准的基础上，每增加1项业绩加5分，最高加5分。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1" w:hRule="atLeast"/>
        </w:trPr>
        <w:tc>
          <w:tcPr>
            <w:tcW w:w="1068" w:type="dxa"/>
            <w:vMerge w:val="continue"/>
            <w:vAlign w:val="center"/>
          </w:tcPr>
          <w:p>
            <w:pPr>
              <w:jc w:val="center"/>
              <w:rPr>
                <w:rFonts w:hint="eastAsia" w:ascii="仿宋" w:hAnsi="仿宋" w:eastAsia="仿宋" w:cs="仿宋"/>
                <w:spacing w:val="-4"/>
                <w:szCs w:val="21"/>
              </w:rPr>
            </w:pPr>
          </w:p>
        </w:tc>
        <w:tc>
          <w:tcPr>
            <w:tcW w:w="765" w:type="dxa"/>
            <w:vMerge w:val="continue"/>
            <w:vAlign w:val="center"/>
          </w:tcPr>
          <w:p>
            <w:pPr>
              <w:jc w:val="center"/>
              <w:rPr>
                <w:rFonts w:hint="eastAsia" w:ascii="仿宋" w:hAnsi="仿宋" w:eastAsia="仿宋" w:cs="仿宋"/>
                <w:spacing w:val="-4"/>
                <w:szCs w:val="21"/>
              </w:rPr>
            </w:pPr>
          </w:p>
        </w:tc>
        <w:tc>
          <w:tcPr>
            <w:tcW w:w="851" w:type="dxa"/>
            <w:vMerge w:val="continue"/>
            <w:vAlign w:val="center"/>
          </w:tcPr>
          <w:p>
            <w:pPr>
              <w:jc w:val="center"/>
              <w:rPr>
                <w:rFonts w:hint="eastAsia" w:ascii="仿宋" w:hAnsi="仿宋" w:eastAsia="仿宋" w:cs="仿宋"/>
                <w:spacing w:val="-4"/>
                <w:szCs w:val="21"/>
              </w:rPr>
            </w:pPr>
          </w:p>
        </w:tc>
        <w:tc>
          <w:tcPr>
            <w:tcW w:w="1559" w:type="dxa"/>
            <w:vAlign w:val="center"/>
          </w:tcPr>
          <w:p>
            <w:pPr>
              <w:rPr>
                <w:rFonts w:hint="eastAsia" w:ascii="仿宋" w:hAnsi="仿宋" w:eastAsia="仿宋" w:cs="仿宋"/>
                <w:spacing w:val="-4"/>
                <w:szCs w:val="21"/>
              </w:rPr>
            </w:pPr>
            <w:r>
              <w:rPr>
                <w:rFonts w:hint="eastAsia" w:ascii="仿宋" w:hAnsi="仿宋" w:eastAsia="仿宋" w:cs="仿宋"/>
                <w:spacing w:val="-4"/>
                <w:szCs w:val="21"/>
              </w:rPr>
              <w:t>项目总工任职资格与业绩</w:t>
            </w:r>
          </w:p>
        </w:tc>
        <w:tc>
          <w:tcPr>
            <w:tcW w:w="425" w:type="dxa"/>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10分</w:t>
            </w:r>
          </w:p>
        </w:tc>
        <w:tc>
          <w:tcPr>
            <w:tcW w:w="4383" w:type="dxa"/>
            <w:vAlign w:val="center"/>
          </w:tcPr>
          <w:p>
            <w:pPr>
              <w:ind w:firstLine="202" w:firstLineChars="100"/>
              <w:rPr>
                <w:rFonts w:hint="eastAsia" w:ascii="仿宋" w:hAnsi="仿宋" w:eastAsia="仿宋" w:cs="仿宋"/>
                <w:spacing w:val="-4"/>
                <w:szCs w:val="21"/>
              </w:rPr>
            </w:pPr>
            <w:r>
              <w:rPr>
                <w:rFonts w:hint="eastAsia" w:ascii="仿宋" w:hAnsi="仿宋" w:eastAsia="仿宋" w:cs="仿宋"/>
                <w:spacing w:val="-4"/>
                <w:szCs w:val="21"/>
              </w:rPr>
              <w:t>(1)满足资格审查标准的得7分；</w:t>
            </w:r>
          </w:p>
          <w:p>
            <w:pPr>
              <w:ind w:firstLine="202" w:firstLineChars="100"/>
              <w:rPr>
                <w:rFonts w:hint="eastAsia" w:ascii="仿宋" w:hAnsi="仿宋" w:eastAsia="仿宋" w:cs="仿宋"/>
                <w:spacing w:val="-4"/>
                <w:szCs w:val="21"/>
              </w:rPr>
            </w:pPr>
            <w:r>
              <w:rPr>
                <w:rFonts w:hint="eastAsia" w:ascii="仿宋" w:hAnsi="仿宋" w:eastAsia="仿宋" w:cs="仿宋"/>
                <w:spacing w:val="-4"/>
                <w:szCs w:val="21"/>
              </w:rPr>
              <w:t>(2)在满足资格审查标准的基础上，每增加1项业绩加3分，最高加3分。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068" w:type="dxa"/>
            <w:vMerge w:val="restart"/>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2.2.2(3)</w:t>
            </w:r>
          </w:p>
        </w:tc>
        <w:tc>
          <w:tcPr>
            <w:tcW w:w="765" w:type="dxa"/>
            <w:vMerge w:val="restart"/>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履约</w:t>
            </w:r>
          </w:p>
          <w:p>
            <w:pPr>
              <w:jc w:val="center"/>
              <w:rPr>
                <w:rFonts w:hint="eastAsia" w:ascii="仿宋" w:hAnsi="仿宋" w:eastAsia="仿宋" w:cs="仿宋"/>
                <w:spacing w:val="-4"/>
                <w:szCs w:val="21"/>
              </w:rPr>
            </w:pPr>
            <w:r>
              <w:rPr>
                <w:rFonts w:hint="eastAsia" w:ascii="仿宋" w:hAnsi="仿宋" w:eastAsia="仿宋" w:cs="仿宋"/>
                <w:spacing w:val="-4"/>
                <w:szCs w:val="21"/>
              </w:rPr>
              <w:t>信誉</w:t>
            </w:r>
          </w:p>
        </w:tc>
        <w:tc>
          <w:tcPr>
            <w:tcW w:w="851" w:type="dxa"/>
            <w:vMerge w:val="restart"/>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25分</w:t>
            </w:r>
          </w:p>
        </w:tc>
        <w:tc>
          <w:tcPr>
            <w:tcW w:w="1559" w:type="dxa"/>
            <w:vAlign w:val="center"/>
          </w:tcPr>
          <w:p>
            <w:pPr>
              <w:spacing w:line="400" w:lineRule="exact"/>
              <w:ind w:left="-105" w:leftChars="-50" w:right="-105" w:rightChars="-50"/>
              <w:jc w:val="center"/>
              <w:rPr>
                <w:rFonts w:hint="eastAsia" w:ascii="仿宋" w:hAnsi="仿宋" w:eastAsia="仿宋" w:cs="仿宋"/>
                <w:spacing w:val="-4"/>
                <w:szCs w:val="21"/>
              </w:rPr>
            </w:pPr>
            <w:r>
              <w:rPr>
                <w:rFonts w:hint="eastAsia" w:ascii="仿宋" w:hAnsi="仿宋" w:eastAsia="仿宋" w:cs="仿宋"/>
                <w:spacing w:val="-4"/>
                <w:szCs w:val="21"/>
              </w:rPr>
              <w:t>企业信誉</w:t>
            </w:r>
          </w:p>
        </w:tc>
        <w:tc>
          <w:tcPr>
            <w:tcW w:w="425" w:type="dxa"/>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5分</w:t>
            </w:r>
          </w:p>
        </w:tc>
        <w:tc>
          <w:tcPr>
            <w:tcW w:w="4383" w:type="dxa"/>
            <w:vAlign w:val="center"/>
          </w:tcPr>
          <w:p>
            <w:pPr>
              <w:ind w:firstLine="210" w:firstLineChars="100"/>
              <w:rPr>
                <w:rFonts w:hint="eastAsia" w:ascii="仿宋" w:hAnsi="仿宋" w:eastAsia="仿宋" w:cs="仿宋"/>
                <w:spacing w:val="-4"/>
                <w:szCs w:val="21"/>
              </w:rPr>
            </w:pPr>
            <w:r>
              <w:rPr>
                <w:rFonts w:hint="eastAsia" w:ascii="仿宋" w:hAnsi="仿宋" w:eastAsia="仿宋" w:cs="仿宋"/>
                <w:sz w:val="21"/>
                <w:szCs w:val="21"/>
              </w:rPr>
              <w:t>按照陕西省交通厅公布的2022年度陕西省公路养护施工单位信用评价结果或陕西省普通干线公路施工企业信用评价结果。AA级企业信誉得满分；A级企业信誉得满分的90%；B级企业信誉得满分的70%；C级企业信誉得满分的60%。</w:t>
            </w:r>
            <w:r>
              <w:rPr>
                <w:rFonts w:hint="eastAsia" w:ascii="仿宋" w:hAnsi="仿宋" w:eastAsia="仿宋" w:cs="仿宋"/>
                <w:sz w:val="21"/>
                <w:szCs w:val="21"/>
              </w:rPr>
              <w:br w:type="textWrapping"/>
            </w:r>
            <w:r>
              <w:rPr>
                <w:rFonts w:hint="eastAsia" w:ascii="仿宋" w:hAnsi="仿宋" w:eastAsia="仿宋" w:cs="仿宋"/>
                <w:sz w:val="21"/>
                <w:szCs w:val="21"/>
              </w:rPr>
              <w:t>未参与2022年信用评价的企业按A级对待。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068" w:type="dxa"/>
            <w:vMerge w:val="continue"/>
            <w:vAlign w:val="center"/>
          </w:tcPr>
          <w:p>
            <w:pPr>
              <w:jc w:val="center"/>
              <w:rPr>
                <w:rFonts w:hint="eastAsia" w:ascii="仿宋" w:hAnsi="仿宋" w:eastAsia="仿宋" w:cs="仿宋"/>
                <w:spacing w:val="-4"/>
                <w:szCs w:val="21"/>
                <w:highlight w:val="yellow"/>
              </w:rPr>
            </w:pPr>
          </w:p>
        </w:tc>
        <w:tc>
          <w:tcPr>
            <w:tcW w:w="765" w:type="dxa"/>
            <w:vMerge w:val="continue"/>
            <w:vAlign w:val="center"/>
          </w:tcPr>
          <w:p>
            <w:pPr>
              <w:jc w:val="center"/>
              <w:rPr>
                <w:rFonts w:hint="eastAsia" w:ascii="仿宋" w:hAnsi="仿宋" w:eastAsia="仿宋" w:cs="仿宋"/>
                <w:spacing w:val="-4"/>
                <w:szCs w:val="21"/>
                <w:highlight w:val="yellow"/>
              </w:rPr>
            </w:pPr>
          </w:p>
        </w:tc>
        <w:tc>
          <w:tcPr>
            <w:tcW w:w="851" w:type="dxa"/>
            <w:vMerge w:val="continue"/>
            <w:vAlign w:val="center"/>
          </w:tcPr>
          <w:p>
            <w:pPr>
              <w:jc w:val="center"/>
              <w:rPr>
                <w:rFonts w:hint="eastAsia" w:ascii="仿宋" w:hAnsi="仿宋" w:eastAsia="仿宋" w:cs="仿宋"/>
                <w:spacing w:val="-4"/>
                <w:szCs w:val="21"/>
                <w:highlight w:val="yellow"/>
              </w:rPr>
            </w:pPr>
          </w:p>
        </w:tc>
        <w:tc>
          <w:tcPr>
            <w:tcW w:w="1559" w:type="dxa"/>
            <w:vAlign w:val="center"/>
          </w:tcPr>
          <w:p>
            <w:pPr>
              <w:spacing w:line="400" w:lineRule="exact"/>
              <w:ind w:left="-105" w:leftChars="-50" w:right="-105" w:rightChars="-50"/>
              <w:jc w:val="center"/>
              <w:rPr>
                <w:rFonts w:hint="eastAsia" w:ascii="仿宋" w:hAnsi="仿宋" w:eastAsia="仿宋" w:cs="仿宋"/>
                <w:spacing w:val="-4"/>
                <w:szCs w:val="21"/>
              </w:rPr>
            </w:pPr>
            <w:r>
              <w:rPr>
                <w:rFonts w:hint="eastAsia" w:ascii="仿宋" w:hAnsi="仿宋" w:eastAsia="仿宋" w:cs="仿宋"/>
                <w:sz w:val="24"/>
              </w:rPr>
              <w:t>企业业绩</w:t>
            </w:r>
          </w:p>
        </w:tc>
        <w:tc>
          <w:tcPr>
            <w:tcW w:w="425" w:type="dxa"/>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20分</w:t>
            </w:r>
          </w:p>
        </w:tc>
        <w:tc>
          <w:tcPr>
            <w:tcW w:w="4383" w:type="dxa"/>
            <w:vAlign w:val="center"/>
          </w:tcPr>
          <w:p>
            <w:pPr>
              <w:ind w:firstLine="202" w:firstLineChars="100"/>
              <w:rPr>
                <w:rFonts w:hint="eastAsia" w:ascii="仿宋" w:hAnsi="仿宋" w:eastAsia="仿宋" w:cs="仿宋"/>
                <w:spacing w:val="-4"/>
                <w:szCs w:val="21"/>
              </w:rPr>
            </w:pPr>
            <w:r>
              <w:rPr>
                <w:rFonts w:hint="eastAsia" w:ascii="仿宋" w:hAnsi="仿宋" w:eastAsia="仿宋" w:cs="仿宋"/>
                <w:spacing w:val="-4"/>
                <w:szCs w:val="21"/>
              </w:rPr>
              <w:t>（1）投标人满足资格审查条件得10分；（2）在满足资格审查标准的基础上，每增加一项业绩加</w:t>
            </w:r>
            <w:r>
              <w:rPr>
                <w:rFonts w:hint="eastAsia" w:ascii="仿宋" w:hAnsi="仿宋" w:cs="仿宋"/>
                <w:spacing w:val="-4"/>
                <w:szCs w:val="21"/>
                <w:lang w:val="en-US" w:eastAsia="zh-CN"/>
              </w:rPr>
              <w:t>2</w:t>
            </w:r>
            <w:r>
              <w:rPr>
                <w:rFonts w:hint="eastAsia" w:ascii="仿宋" w:hAnsi="仿宋" w:eastAsia="仿宋" w:cs="仿宋"/>
                <w:spacing w:val="-4"/>
                <w:szCs w:val="21"/>
              </w:rPr>
              <w:t>分，最高加10分。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068" w:type="dxa"/>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2.2.2(4)</w:t>
            </w:r>
          </w:p>
        </w:tc>
        <w:tc>
          <w:tcPr>
            <w:tcW w:w="765" w:type="dxa"/>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技术能力</w:t>
            </w:r>
          </w:p>
        </w:tc>
        <w:tc>
          <w:tcPr>
            <w:tcW w:w="851" w:type="dxa"/>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10分</w:t>
            </w:r>
          </w:p>
        </w:tc>
        <w:tc>
          <w:tcPr>
            <w:tcW w:w="1559" w:type="dxa"/>
            <w:vAlign w:val="center"/>
          </w:tcPr>
          <w:p>
            <w:pPr>
              <w:rPr>
                <w:rFonts w:hint="eastAsia" w:ascii="仿宋" w:hAnsi="仿宋" w:eastAsia="仿宋" w:cs="仿宋"/>
                <w:spacing w:val="-4"/>
                <w:szCs w:val="21"/>
              </w:rPr>
            </w:pPr>
            <w:r>
              <w:rPr>
                <w:rFonts w:hint="eastAsia" w:ascii="仿宋" w:hAnsi="仿宋" w:eastAsia="仿宋" w:cs="仿宋"/>
                <w:spacing w:val="-4"/>
                <w:szCs w:val="21"/>
              </w:rPr>
              <w:t>投标人的科研开发和技术创新能力</w:t>
            </w:r>
          </w:p>
        </w:tc>
        <w:tc>
          <w:tcPr>
            <w:tcW w:w="425" w:type="dxa"/>
            <w:vAlign w:val="center"/>
          </w:tcPr>
          <w:p>
            <w:pPr>
              <w:jc w:val="center"/>
              <w:rPr>
                <w:rFonts w:hint="eastAsia" w:ascii="仿宋" w:hAnsi="仿宋" w:eastAsia="仿宋" w:cs="仿宋"/>
                <w:spacing w:val="-4"/>
                <w:szCs w:val="21"/>
              </w:rPr>
            </w:pPr>
            <w:r>
              <w:rPr>
                <w:rFonts w:hint="eastAsia" w:ascii="仿宋" w:hAnsi="仿宋" w:eastAsia="仿宋" w:cs="仿宋"/>
                <w:spacing w:val="-4"/>
                <w:szCs w:val="21"/>
              </w:rPr>
              <w:t>10分</w:t>
            </w:r>
          </w:p>
        </w:tc>
        <w:tc>
          <w:tcPr>
            <w:tcW w:w="4383" w:type="dxa"/>
            <w:vAlign w:val="center"/>
          </w:tcPr>
          <w:p>
            <w:pPr>
              <w:ind w:firstLine="202" w:firstLineChars="100"/>
              <w:rPr>
                <w:rFonts w:hint="eastAsia" w:ascii="仿宋" w:hAnsi="仿宋" w:eastAsia="仿宋" w:cs="仿宋"/>
                <w:spacing w:val="-4"/>
                <w:szCs w:val="21"/>
              </w:rPr>
            </w:pPr>
            <w:r>
              <w:rPr>
                <w:rFonts w:hint="eastAsia" w:ascii="仿宋" w:hAnsi="仿宋" w:eastAsia="仿宋" w:cs="仿宋"/>
                <w:spacing w:val="-4"/>
                <w:szCs w:val="21"/>
              </w:rPr>
              <w:t>（1）投标人满足资格审查条件得6分；（2）投标人（包括其在职人员）曾获得与工程有关的国家级工法、专利（发明专利或实用新型专利）、国家或省级或市级科学技术奖的，主编或参编过的国家、行业或地方标准的，每有一项加4分，最多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98" w:hRule="atLeast"/>
        </w:trPr>
        <w:tc>
          <w:tcPr>
            <w:tcW w:w="9051" w:type="dxa"/>
            <w:gridSpan w:val="6"/>
            <w:vAlign w:val="center"/>
          </w:tcPr>
          <w:p>
            <w:pPr>
              <w:ind w:firstLine="202" w:firstLineChars="100"/>
              <w:rPr>
                <w:rFonts w:hint="eastAsia" w:ascii="仿宋" w:hAnsi="仿宋" w:eastAsia="仿宋" w:cs="仿宋"/>
                <w:spacing w:val="-4"/>
                <w:szCs w:val="21"/>
              </w:rPr>
            </w:pPr>
            <w:r>
              <w:rPr>
                <w:rFonts w:hint="eastAsia" w:ascii="仿宋" w:hAnsi="仿宋" w:eastAsia="仿宋" w:cs="仿宋"/>
                <w:spacing w:val="-4"/>
                <w:szCs w:val="21"/>
              </w:rPr>
              <w:t>需要补充的其他内容：</w:t>
            </w:r>
          </w:p>
          <w:p>
            <w:pPr>
              <w:ind w:firstLine="202" w:firstLineChars="100"/>
              <w:rPr>
                <w:rFonts w:hint="eastAsia" w:ascii="仿宋" w:hAnsi="仿宋" w:eastAsia="仿宋" w:cs="仿宋"/>
                <w:spacing w:val="-4"/>
                <w:szCs w:val="21"/>
              </w:rPr>
            </w:pPr>
            <w:r>
              <w:rPr>
                <w:rFonts w:hint="eastAsia" w:ascii="仿宋" w:hAnsi="仿宋" w:eastAsia="仿宋" w:cs="仿宋"/>
                <w:spacing w:val="-4"/>
                <w:szCs w:val="21"/>
              </w:rPr>
              <w:t>1.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ind w:firstLine="202" w:firstLineChars="100"/>
              <w:rPr>
                <w:rFonts w:hint="eastAsia" w:ascii="仿宋" w:hAnsi="仿宋" w:eastAsia="仿宋" w:cs="仿宋"/>
                <w:szCs w:val="21"/>
              </w:rPr>
            </w:pPr>
            <w:r>
              <w:rPr>
                <w:rFonts w:hint="eastAsia" w:ascii="仿宋" w:hAnsi="仿宋" w:eastAsia="仿宋" w:cs="仿宋"/>
                <w:spacing w:val="-4"/>
                <w:szCs w:val="21"/>
              </w:rPr>
              <w:t>2.推荐的中标候选人的人数为3名；评标委员会对投标文件进行评审后，因有效投标不足3个，应否决全部投标。</w:t>
            </w:r>
          </w:p>
        </w:tc>
      </w:tr>
    </w:tbl>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bidi w:val="0"/>
        <w:rPr>
          <w:rFonts w:hint="eastAsia" w:eastAsia="仿宋"/>
          <w:b/>
          <w:bCs/>
          <w:lang w:val="en-US" w:eastAsia="zh-CN"/>
        </w:rPr>
      </w:pPr>
      <w:r>
        <w:rPr>
          <w:rFonts w:hint="eastAsia"/>
          <w:b/>
          <w:bCs/>
          <w:lang w:val="en-US" w:eastAsia="zh-C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M2EyMjA4NDIzNDNiMmU0NmRjOTQzZmM4MmM3OWYifQ=="/>
  </w:docVars>
  <w:rsids>
    <w:rsidRoot w:val="7808726D"/>
    <w:rsid w:val="2FEF78E4"/>
    <w:rsid w:val="42D9273C"/>
    <w:rsid w:val="4FDF9EF8"/>
    <w:rsid w:val="76DD7184"/>
    <w:rsid w:val="7808726D"/>
    <w:rsid w:val="7D3E5C13"/>
    <w:rsid w:val="FFEE3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3">
    <w:name w:val="heading 3"/>
    <w:basedOn w:val="1"/>
    <w:next w:val="1"/>
    <w:qFormat/>
    <w:uiPriority w:val="0"/>
    <w:pPr>
      <w:keepNext/>
      <w:keepLines/>
      <w:spacing w:beforeLines="100" w:afterLines="50"/>
      <w:outlineLvl w:val="2"/>
    </w:pPr>
    <w:rPr>
      <w:rFonts w:eastAsia="黑体"/>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left"/>
    </w:pPr>
    <w:rPr>
      <w:rFonts w:eastAsia="黑体"/>
      <w:sz w:val="18"/>
      <w:szCs w:val="18"/>
    </w:rPr>
  </w:style>
  <w:style w:type="paragraph" w:styleId="4">
    <w:name w:val="annotation text"/>
    <w:basedOn w:val="1"/>
    <w:qFormat/>
    <w:uiPriority w:val="99"/>
    <w:pPr>
      <w:jc w:val="left"/>
    </w:pPr>
  </w:style>
  <w:style w:type="paragraph" w:styleId="5">
    <w:name w:val="Plain Text"/>
    <w:basedOn w:val="1"/>
    <w:qFormat/>
    <w:uiPriority w:val="0"/>
    <w:rPr>
      <w:rFonts w:ascii="宋体" w:hAnsi="Courier New"/>
      <w:color w:val="000000"/>
      <w:szCs w:val="20"/>
    </w:rPr>
  </w:style>
  <w:style w:type="paragraph" w:customStyle="1" w:styleId="8">
    <w:name w:val="Char"/>
    <w:basedOn w:val="1"/>
    <w:next w:val="1"/>
    <w:qFormat/>
    <w:uiPriority w:val="0"/>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2024-03-15T14:44:00Z</dcterms:created>
  <dc:creator>云云</dc:creator>
  <cp:lastModifiedBy>guest</cp:lastModifiedBy>
  <dcterms:modified xsi:type="dcterms:W3CDTF">2024-04-17T17:41:51Z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5B653B8FBDD50DCF5F991F660FFB634A</vt:lpwstr>
  </property>
</Properties>
</file>