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460" w:lineRule="exact"/>
        <w:ind w:left="-181" w:right="-181"/>
        <w:jc w:val="center"/>
        <w:textAlignment w:val="auto"/>
        <w:rPr>
          <w:rFonts w:hint="eastAsia" w:ascii="新宋体" w:hAnsi="新宋体" w:eastAsia="新宋体" w:cs="新宋体"/>
          <w:b/>
          <w:bCs/>
          <w:color w:val="000000"/>
          <w:spacing w:val="0"/>
          <w:sz w:val="32"/>
          <w:szCs w:val="32"/>
          <w:lang w:val="en-US" w:eastAsia="zh-CN"/>
        </w:rPr>
      </w:pPr>
      <w:bookmarkStart w:id="0" w:name="_Toc8980"/>
      <w:bookmarkStart w:id="1" w:name="_Hlk534298331"/>
      <w:r>
        <w:rPr>
          <w:rFonts w:hint="eastAsia" w:ascii="新宋体" w:hAnsi="新宋体" w:eastAsia="新宋体" w:cs="新宋体"/>
          <w:b/>
          <w:bCs/>
          <w:color w:val="000000"/>
          <w:spacing w:val="0"/>
          <w:sz w:val="32"/>
          <w:szCs w:val="32"/>
          <w:lang w:val="en-US" w:eastAsia="zh-CN"/>
        </w:rPr>
        <w:t>S211桑树沟任河大桥、紫阳任河嘴汉江大桥、S541安康汉江一桥3座船舶碰撞桥梁隐患治理工程施工监理</w:t>
      </w:r>
    </w:p>
    <w:p>
      <w:pPr>
        <w:keepNext w:val="0"/>
        <w:keepLines w:val="0"/>
        <w:pageBreakBefore w:val="0"/>
        <w:widowControl/>
        <w:kinsoku/>
        <w:wordWrap/>
        <w:overflowPunct/>
        <w:topLinePunct w:val="0"/>
        <w:autoSpaceDE/>
        <w:autoSpaceDN/>
        <w:bidi w:val="0"/>
        <w:adjustRightInd/>
        <w:snapToGrid/>
        <w:spacing w:line="460" w:lineRule="exact"/>
        <w:ind w:left="-181" w:right="-181"/>
        <w:jc w:val="center"/>
        <w:textAlignment w:val="auto"/>
        <w:rPr>
          <w:rFonts w:hint="eastAsia" w:ascii="新宋体" w:hAnsi="新宋体" w:eastAsia="新宋体" w:cs="新宋体"/>
          <w:b/>
          <w:bCs/>
          <w:color w:val="auto"/>
          <w:kern w:val="0"/>
          <w:sz w:val="32"/>
          <w:szCs w:val="32"/>
          <w:shd w:val="clear" w:color="auto" w:fill="FFFFFF"/>
          <w:lang w:eastAsia="zh-CN" w:bidi="ar"/>
        </w:rPr>
      </w:pPr>
      <w:r>
        <w:rPr>
          <w:rFonts w:hint="eastAsia" w:ascii="新宋体" w:hAnsi="新宋体" w:eastAsia="新宋体" w:cs="新宋体"/>
          <w:b/>
          <w:bCs/>
          <w:color w:val="000000"/>
          <w:spacing w:val="0"/>
          <w:sz w:val="32"/>
          <w:szCs w:val="32"/>
          <w:lang w:val="en-US" w:eastAsia="zh-CN"/>
        </w:rPr>
        <w:t>招标</w:t>
      </w:r>
      <w:r>
        <w:rPr>
          <w:rFonts w:hint="eastAsia" w:ascii="新宋体" w:hAnsi="新宋体" w:eastAsia="新宋体" w:cs="新宋体"/>
          <w:b/>
          <w:bCs/>
          <w:color w:val="auto"/>
          <w:sz w:val="32"/>
          <w:szCs w:val="22"/>
          <w:highlight w:val="none"/>
          <w:lang w:eastAsia="zh-CN"/>
        </w:rPr>
        <w:t>文件关键内容公示</w:t>
      </w:r>
    </w:p>
    <w:bookmarkEnd w:id="0"/>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81" w:rightChars="0"/>
        <w:jc w:val="left"/>
        <w:textAlignment w:val="auto"/>
        <w:rPr>
          <w:rFonts w:ascii="新宋体" w:hAnsi="新宋体" w:eastAsia="新宋体" w:cs="新宋体"/>
          <w:sz w:val="24"/>
          <w:szCs w:val="24"/>
        </w:rPr>
      </w:pPr>
      <w:bookmarkStart w:id="2" w:name="_Toc21309_WPSOffice_Level2"/>
      <w:r>
        <w:rPr>
          <w:rFonts w:hint="eastAsia" w:ascii="新宋体" w:hAnsi="新宋体" w:eastAsia="新宋体" w:cs="新宋体"/>
          <w:b/>
          <w:bCs/>
          <w:color w:val="auto"/>
          <w:kern w:val="0"/>
          <w:sz w:val="24"/>
          <w:szCs w:val="24"/>
          <w:shd w:val="clear" w:color="auto" w:fill="FFFFFF"/>
          <w:lang w:eastAsia="zh-CN" w:bidi="ar"/>
        </w:rPr>
        <w:t>一、</w:t>
      </w:r>
      <w:r>
        <w:rPr>
          <w:rFonts w:hint="eastAsia" w:ascii="新宋体" w:hAnsi="新宋体" w:eastAsia="新宋体" w:cs="新宋体"/>
          <w:b/>
          <w:bCs/>
          <w:color w:val="auto"/>
          <w:kern w:val="0"/>
          <w:sz w:val="24"/>
          <w:szCs w:val="24"/>
          <w:shd w:val="clear" w:color="auto" w:fill="FFFFFF"/>
          <w:lang w:bidi="ar"/>
        </w:rPr>
        <w:t>项目概况</w:t>
      </w:r>
      <w:bookmarkEnd w:id="2"/>
    </w:p>
    <w:p>
      <w:pPr>
        <w:spacing w:line="440" w:lineRule="exact"/>
        <w:ind w:firstLine="472" w:firstLineChars="200"/>
        <w:outlineLvl w:val="0"/>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S211桑树沟任河大桥、紫阳任河嘴汉江大桥、S541安康汉江一桥3座船舶碰撞桥梁隐患治理工程施工监理，</w:t>
      </w:r>
      <w:r>
        <w:rPr>
          <w:rFonts w:hint="eastAsia" w:ascii="宋体" w:hAnsi="宋体" w:eastAsia="宋体" w:cs="宋体"/>
          <w:spacing w:val="-2"/>
          <w:sz w:val="24"/>
          <w:szCs w:val="24"/>
        </w:rPr>
        <w:t>工程规模：S211桑树沟任河大桥、紫阳任河嘴汉江大桥、S541安康汉江一桥船舶碰撞桥梁隐患治理工程提供施工监理服务。</w:t>
      </w:r>
    </w:p>
    <w:p>
      <w:pPr>
        <w:pStyle w:val="4"/>
        <w:keepNext/>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bCs/>
          <w:iCs/>
          <w:snapToGrid w:val="0"/>
          <w:color w:val="000000"/>
          <w:sz w:val="24"/>
          <w:szCs w:val="24"/>
          <w:lang w:val="en-US" w:eastAsia="zh-CN" w:bidi="ar-SA"/>
        </w:rPr>
      </w:pPr>
      <w:bookmarkStart w:id="3" w:name="_Toc10278_WPSOffice_Level2"/>
      <w:bookmarkEnd w:id="3"/>
      <w:bookmarkStart w:id="4" w:name="_Toc17429_WPSOffice_Level2"/>
      <w:bookmarkEnd w:id="4"/>
      <w:bookmarkStart w:id="5" w:name="_Toc19165"/>
      <w:bookmarkStart w:id="6" w:name="_Toc1430"/>
      <w:bookmarkStart w:id="7" w:name="_Toc1220"/>
      <w:bookmarkStart w:id="8" w:name="_Toc501257035"/>
      <w:bookmarkStart w:id="9" w:name="_Toc470760975"/>
      <w:bookmarkStart w:id="10" w:name="_Toc17135"/>
      <w:bookmarkStart w:id="11" w:name="_Toc12021_WPSOffice_Level2"/>
      <w:r>
        <w:rPr>
          <w:rFonts w:hint="eastAsia" w:ascii="宋体" w:hAnsi="宋体" w:eastAsia="宋体" w:cs="宋体"/>
          <w:b/>
          <w:bCs/>
          <w:iCs/>
          <w:snapToGrid w:val="0"/>
          <w:color w:val="000000"/>
          <w:sz w:val="24"/>
          <w:szCs w:val="24"/>
          <w:lang w:val="en-US" w:eastAsia="zh-CN" w:bidi="ar-SA"/>
        </w:rPr>
        <w:t>二、投标人资格要求</w:t>
      </w:r>
      <w:bookmarkEnd w:id="5"/>
      <w:bookmarkEnd w:id="6"/>
      <w:bookmarkEnd w:id="7"/>
      <w:bookmarkEnd w:id="8"/>
      <w:bookmarkEnd w:id="9"/>
      <w:bookmarkEnd w:id="10"/>
    </w:p>
    <w:p>
      <w:pPr>
        <w:pageBreakBefore w:val="0"/>
        <w:widowControl w:val="0"/>
        <w:kinsoku/>
        <w:wordWrap/>
        <w:overflowPunct/>
        <w:topLinePunct w:val="0"/>
        <w:bidi w:val="0"/>
        <w:spacing w:line="440" w:lineRule="exact"/>
        <w:ind w:firstLine="481" w:firstLineChars="200"/>
        <w:textAlignment w:val="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1、资格审查条件</w:t>
      </w:r>
    </w:p>
    <w:p>
      <w:pPr>
        <w:pageBreakBefore w:val="0"/>
        <w:widowControl w:val="0"/>
        <w:kinsoku/>
        <w:wordWrap/>
        <w:overflowPunct/>
        <w:topLinePunct w:val="0"/>
        <w:bidi w:val="0"/>
        <w:spacing w:line="440" w:lineRule="exact"/>
        <w:ind w:firstLine="472" w:firstLineChars="200"/>
        <w:textAlignment w:val="auto"/>
        <w:outlineLvl w:val="0"/>
        <w:rPr>
          <w:rFonts w:hint="eastAsia" w:ascii="宋体" w:hAnsi="宋体" w:eastAsia="宋体" w:cs="宋体"/>
          <w:spacing w:val="-2"/>
          <w:sz w:val="24"/>
          <w:szCs w:val="24"/>
        </w:rPr>
      </w:pPr>
      <w:r>
        <w:rPr>
          <w:rFonts w:hint="eastAsia" w:ascii="宋体" w:hAnsi="宋体" w:eastAsia="宋体" w:cs="宋体"/>
          <w:spacing w:val="-2"/>
          <w:sz w:val="24"/>
          <w:szCs w:val="24"/>
        </w:rPr>
        <w:t>本次</w:t>
      </w:r>
      <w:r>
        <w:rPr>
          <w:rFonts w:hint="eastAsia" w:ascii="宋体" w:hAnsi="宋体" w:eastAsia="宋体" w:cs="宋体"/>
          <w:spacing w:val="-2"/>
          <w:sz w:val="24"/>
          <w:szCs w:val="24"/>
          <w:lang w:eastAsia="zh-CN"/>
        </w:rPr>
        <w:t>招标</w:t>
      </w:r>
      <w:r>
        <w:rPr>
          <w:rFonts w:hint="eastAsia" w:ascii="宋体" w:hAnsi="宋体" w:eastAsia="宋体" w:cs="宋体"/>
          <w:spacing w:val="-2"/>
          <w:sz w:val="24"/>
          <w:szCs w:val="24"/>
        </w:rPr>
        <w:t>要求申请人满足下述各项资质、业绩和信誉要求，并在人员、设备和施工组织等方面具有相应的施工能力：</w:t>
      </w:r>
    </w:p>
    <w:p>
      <w:pPr>
        <w:pStyle w:val="3"/>
        <w:pageBreakBefore w:val="0"/>
        <w:widowControl w:val="0"/>
        <w:kinsoku/>
        <w:wordWrap/>
        <w:overflowPunct/>
        <w:topLinePunct w:val="0"/>
        <w:bidi w:val="0"/>
        <w:spacing w:before="240" w:after="240" w:line="440" w:lineRule="exact"/>
        <w:ind w:firstLine="480" w:firstLineChars="200"/>
        <w:jc w:val="both"/>
        <w:textAlignment w:val="auto"/>
        <w:rPr>
          <w:rFonts w:hint="eastAsia" w:ascii="宋体" w:hAnsi="宋体" w:eastAsia="宋体" w:cs="宋体"/>
          <w:b w:val="0"/>
          <w:bCs w:val="0"/>
          <w:sz w:val="24"/>
          <w:szCs w:val="24"/>
        </w:rPr>
      </w:pPr>
      <w:bookmarkStart w:id="12" w:name="_Toc21719_WPSOffice_Level2"/>
      <w:bookmarkStart w:id="13" w:name="_Toc23282_WPSOffice_Level2"/>
      <w:bookmarkStart w:id="14" w:name="_Toc20524"/>
      <w:bookmarkStart w:id="15" w:name="_Toc1181_WPSOffice_Level2"/>
      <w:bookmarkStart w:id="16" w:name="_Toc234832863"/>
      <w:bookmarkStart w:id="17" w:name="_Toc509993812"/>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资质要求</w:t>
      </w:r>
      <w:bookmarkEnd w:id="12"/>
      <w:bookmarkEnd w:id="13"/>
      <w:bookmarkEnd w:id="14"/>
      <w:bookmarkEnd w:id="15"/>
      <w:bookmarkEnd w:id="16"/>
      <w:bookmarkEnd w:id="17"/>
    </w:p>
    <w:tbl>
      <w:tblPr>
        <w:tblStyle w:val="2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931"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7215"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61" w:hRule="atLeast"/>
          <w:jc w:val="center"/>
        </w:trPr>
        <w:tc>
          <w:tcPr>
            <w:tcW w:w="1931"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E6109013546ju08bu319001</w:t>
            </w:r>
          </w:p>
        </w:tc>
        <w:tc>
          <w:tcPr>
            <w:tcW w:w="7215" w:type="dxa"/>
            <w:vAlign w:val="center"/>
          </w:tcPr>
          <w:p>
            <w:pPr>
              <w:pageBreakBefore w:val="0"/>
              <w:widowControl w:val="0"/>
              <w:kinsoku/>
              <w:wordWrap/>
              <w:overflowPunct/>
              <w:topLinePunct w:val="0"/>
              <w:bidi w:val="0"/>
              <w:adjustRightInd w:val="0"/>
              <w:snapToGrid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1.投标人必须具有国内独立法人资格及有效的企业法人营业执照；</w:t>
            </w:r>
          </w:p>
          <w:p>
            <w:pPr>
              <w:pageBreakBefore w:val="0"/>
              <w:widowControl w:val="0"/>
              <w:kinsoku/>
              <w:wordWrap/>
              <w:overflowPunct/>
              <w:topLinePunct w:val="0"/>
              <w:bidi w:val="0"/>
              <w:adjustRightInd w:val="0"/>
              <w:snapToGrid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2.投标人须具备交通运输部颁发的公路工程专业监理乙级（含乙级）以上资质。</w:t>
            </w:r>
          </w:p>
        </w:tc>
      </w:tr>
    </w:tbl>
    <w:p>
      <w:pPr>
        <w:pStyle w:val="3"/>
        <w:keepNext/>
        <w:keepLines/>
        <w:pageBreakBefore w:val="0"/>
        <w:widowControl w:val="0"/>
        <w:kinsoku/>
        <w:wordWrap/>
        <w:overflowPunct/>
        <w:topLinePunct w:val="0"/>
        <w:autoSpaceDE/>
        <w:autoSpaceDN/>
        <w:bidi w:val="0"/>
        <w:adjustRightInd/>
        <w:snapToGrid/>
        <w:spacing w:before="313" w:beforeLines="100" w:after="313" w:afterLines="100" w:line="400" w:lineRule="exact"/>
        <w:ind w:firstLine="480" w:firstLineChars="200"/>
        <w:jc w:val="both"/>
        <w:textAlignment w:val="auto"/>
        <w:rPr>
          <w:rFonts w:hint="eastAsia" w:ascii="宋体" w:hAnsi="宋体" w:eastAsia="宋体" w:cs="宋体"/>
          <w:b w:val="0"/>
          <w:bCs w:val="0"/>
          <w:sz w:val="24"/>
          <w:szCs w:val="24"/>
        </w:rPr>
      </w:pPr>
      <w:bookmarkStart w:id="18" w:name="_Toc16072_WPSOffice_Level2"/>
      <w:bookmarkStart w:id="19" w:name="_Toc11628"/>
      <w:bookmarkStart w:id="20" w:name="_Toc509993813"/>
      <w:bookmarkStart w:id="21" w:name="_Toc6323_WPSOffice_Level2"/>
      <w:bookmarkStart w:id="22" w:name="_Toc234832865"/>
      <w:bookmarkStart w:id="23" w:name="_Toc16839_WPSOffice_Level2"/>
      <w:r>
        <w:rPr>
          <w:rFonts w:hint="eastAsia" w:ascii="宋体" w:hAnsi="宋体" w:eastAsia="宋体" w:cs="宋体"/>
          <w:b w:val="0"/>
          <w:bCs w:val="0"/>
          <w:sz w:val="24"/>
          <w:szCs w:val="24"/>
        </w:rPr>
        <w:t>（2）</w:t>
      </w:r>
      <w:bookmarkEnd w:id="18"/>
      <w:bookmarkEnd w:id="19"/>
      <w:bookmarkEnd w:id="20"/>
      <w:bookmarkEnd w:id="21"/>
      <w:bookmarkEnd w:id="22"/>
      <w:bookmarkEnd w:id="23"/>
      <w:bookmarkStart w:id="24" w:name="_Toc509993814"/>
      <w:bookmarkStart w:id="25" w:name="_Toc234832866"/>
      <w:r>
        <w:rPr>
          <w:rFonts w:hint="eastAsia" w:ascii="宋体" w:hAnsi="宋体" w:eastAsia="宋体" w:cs="宋体"/>
          <w:b w:val="0"/>
          <w:bCs w:val="0"/>
          <w:sz w:val="24"/>
          <w:szCs w:val="24"/>
        </w:rPr>
        <w:t>业绩要求</w:t>
      </w:r>
    </w:p>
    <w:tbl>
      <w:tblPr>
        <w:tblStyle w:val="20"/>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7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087"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3912"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087"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E6109013546ju08bu319001</w:t>
            </w:r>
          </w:p>
        </w:tc>
        <w:tc>
          <w:tcPr>
            <w:tcW w:w="3912" w:type="pct"/>
            <w:vAlign w:val="center"/>
          </w:tcPr>
          <w:p>
            <w:pPr>
              <w:pageBreakBefore w:val="0"/>
              <w:widowControl w:val="0"/>
              <w:kinsoku/>
              <w:wordWrap/>
              <w:overflowPunct/>
              <w:topLinePunct w:val="0"/>
              <w:bidi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投标人近5年内（2017年1月1日至2022年1月1日）至少完成过1项公路桥梁相关监理业绩。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5000" w:type="pct"/>
            <w:gridSpan w:val="2"/>
            <w:vAlign w:val="center"/>
          </w:tcPr>
          <w:p>
            <w:pPr>
              <w:pageBreakBefore w:val="0"/>
              <w:widowControl w:val="0"/>
              <w:kinsoku/>
              <w:wordWrap/>
              <w:overflowPunct/>
              <w:topLinePunct w:val="0"/>
              <w:bidi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注：业绩证明材料需提供合同或中标通知书或委托人出具的业绩证明材料。</w:t>
            </w:r>
          </w:p>
        </w:tc>
      </w:tr>
      <w:bookmarkEnd w:id="24"/>
      <w:bookmarkEnd w:id="25"/>
    </w:tbl>
    <w:p>
      <w:pPr>
        <w:pStyle w:val="3"/>
        <w:keepNext/>
        <w:keepLines/>
        <w:pageBreakBefore w:val="0"/>
        <w:widowControl w:val="0"/>
        <w:kinsoku/>
        <w:wordWrap/>
        <w:overflowPunct/>
        <w:topLinePunct w:val="0"/>
        <w:autoSpaceDE/>
        <w:autoSpaceDN/>
        <w:bidi w:val="0"/>
        <w:adjustRightInd/>
        <w:snapToGrid/>
        <w:spacing w:before="313" w:beforeLines="100" w:after="313" w:afterLines="100" w:line="40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（3）信誉要求</w:t>
      </w:r>
    </w:p>
    <w:tbl>
      <w:tblPr>
        <w:tblStyle w:val="20"/>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126"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7075"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9" w:hRule="atLeast"/>
          <w:jc w:val="center"/>
        </w:trPr>
        <w:tc>
          <w:tcPr>
            <w:tcW w:w="2126" w:type="dxa"/>
            <w:vAlign w:val="center"/>
          </w:tcPr>
          <w:p>
            <w:pPr>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E6109013546ju08bu319001</w:t>
            </w:r>
          </w:p>
        </w:tc>
        <w:tc>
          <w:tcPr>
            <w:tcW w:w="7075" w:type="dxa"/>
            <w:vAlign w:val="center"/>
          </w:tcPr>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eastAsia="zh-CN"/>
              </w:rPr>
              <w:t>不得存在下列不良状况或不良</w:t>
            </w:r>
            <w:r>
              <w:rPr>
                <w:rFonts w:hint="eastAsia" w:ascii="宋体" w:hAnsi="宋体" w:eastAsia="宋体" w:cs="宋体"/>
                <w:sz w:val="24"/>
                <w:szCs w:val="24"/>
              </w:rPr>
              <w:t>信用</w:t>
            </w:r>
            <w:r>
              <w:rPr>
                <w:rFonts w:hint="eastAsia" w:ascii="宋体" w:hAnsi="宋体" w:eastAsia="宋体" w:cs="宋体"/>
                <w:sz w:val="24"/>
                <w:szCs w:val="24"/>
                <w:lang w:eastAsia="zh-CN"/>
              </w:rPr>
              <w:t>记录</w:t>
            </w:r>
            <w:r>
              <w:rPr>
                <w:rFonts w:hint="eastAsia" w:ascii="宋体" w:hAnsi="宋体" w:eastAsia="宋体" w:cs="宋体"/>
                <w:sz w:val="24"/>
                <w:szCs w:val="24"/>
              </w:rPr>
              <w:t xml:space="preserve">：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1. 凡被交通运输部或陕西省交通运输主管部门取消或暂停在陕西省投标资格且在处罚期内的单位无资格参与本项目投标；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2.2021年度</w:t>
            </w:r>
            <w:r>
              <w:rPr>
                <w:rFonts w:hint="eastAsia" w:ascii="宋体" w:hAnsi="宋体" w:eastAsia="宋体" w:cs="宋体"/>
                <w:sz w:val="24"/>
                <w:szCs w:val="24"/>
                <w:lang w:eastAsia="zh-CN"/>
              </w:rPr>
              <w:t>，</w:t>
            </w:r>
            <w:r>
              <w:rPr>
                <w:rFonts w:hint="eastAsia" w:ascii="宋体" w:hAnsi="宋体" w:eastAsia="宋体" w:cs="宋体"/>
                <w:sz w:val="24"/>
                <w:szCs w:val="24"/>
              </w:rPr>
              <w:t>凡在交通运输部监理企业信用评价结果中或陕西省公路监理企业信用评价结果中，被评为D级或曾被评为D级但处罚期限未过的单位无资格参与本项目投标；</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3. 被责令停业，暂扣或吊销执照，或吊销资质证书；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 进入清算程序，或被宣告破产，或其他丧失履约能力的情形；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5. 在国家企业信用信息公示系统（http://www.gsxt.gov.cn/）中被列入严重违法失信企业名单；在“信用中国”网站（http://www.creditchina.gov.cn/）中被列入失信被执行人名单；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6. 投标人及其法定代表人、拟委任的总监理工程师在近三年内有行贿犯罪行为的（行贿犯罪行为的认定以中国裁判文书网查询的结果为准）；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 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jc w:val="center"/>
        </w:trPr>
        <w:tc>
          <w:tcPr>
            <w:tcW w:w="9201" w:type="dxa"/>
            <w:gridSpan w:val="2"/>
            <w:vAlign w:val="center"/>
          </w:tcPr>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 xml:space="preserve">注：1.投标人须提供其在国家企业信用信息公示系统（http://www.gsxt.gov.cn/）中未被列入严重违法失信企业名单的网页截图复印件以供核查。 </w:t>
            </w:r>
          </w:p>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 xml:space="preserve">2.投标人须提供其在“信用中国”网站（http://www.creditchina.gov.cn/）中未被列入失信被执行人名单的网页截图复印件以供核查。 </w:t>
            </w:r>
          </w:p>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3.投标人须提供“中国裁判文书网”（http://wenshu.court.gov.cn/）投标人或法定代表人、拟委任的总监无行贿犯罪行为的查询结果截图复印件以供核查。</w:t>
            </w:r>
          </w:p>
        </w:tc>
      </w:tr>
    </w:tbl>
    <w:p>
      <w:pPr>
        <w:adjustRightInd w:val="0"/>
        <w:snapToGrid w:val="0"/>
        <w:spacing w:line="300" w:lineRule="exact"/>
        <w:rPr>
          <w:rFonts w:hint="eastAsia" w:ascii="宋体" w:hAnsi="宋体" w:eastAsia="宋体" w:cs="宋体"/>
          <w:sz w:val="24"/>
          <w:szCs w:val="24"/>
        </w:rPr>
      </w:pPr>
    </w:p>
    <w:p>
      <w:pPr>
        <w:ind w:firstLine="480" w:firstLineChars="200"/>
        <w:jc w:val="both"/>
        <w:rPr>
          <w:rFonts w:hint="eastAsia" w:ascii="宋体" w:hAnsi="宋体" w:eastAsia="宋体" w:cs="宋体"/>
          <w:kern w:val="44"/>
          <w:sz w:val="24"/>
          <w:szCs w:val="24"/>
        </w:rPr>
      </w:pPr>
      <w:bookmarkStart w:id="26" w:name="_Toc14393_WPSOffice_Level2"/>
      <w:bookmarkStart w:id="27" w:name="_Toc22584"/>
      <w:bookmarkStart w:id="28" w:name="_Toc24929_WPSOffice_Level2"/>
      <w:bookmarkStart w:id="29" w:name="_Toc509993815"/>
      <w:bookmarkStart w:id="30" w:name="_Toc21646_WPSOffice_Level2"/>
      <w:bookmarkStart w:id="31" w:name="_Toc234832867"/>
      <w:r>
        <w:rPr>
          <w:rFonts w:hint="eastAsia" w:ascii="宋体" w:hAnsi="宋体" w:eastAsia="宋体" w:cs="宋体"/>
          <w:kern w:val="44"/>
          <w:sz w:val="24"/>
          <w:szCs w:val="24"/>
        </w:rPr>
        <w:t>（</w:t>
      </w:r>
      <w:r>
        <w:rPr>
          <w:rFonts w:hint="eastAsia" w:ascii="宋体" w:hAnsi="宋体" w:eastAsia="宋体" w:cs="宋体"/>
          <w:kern w:val="44"/>
          <w:sz w:val="24"/>
          <w:szCs w:val="24"/>
          <w:lang w:val="en-US" w:eastAsia="zh-CN"/>
        </w:rPr>
        <w:t>4</w:t>
      </w:r>
      <w:r>
        <w:rPr>
          <w:rFonts w:hint="eastAsia" w:ascii="宋体" w:hAnsi="宋体" w:eastAsia="宋体" w:cs="宋体"/>
          <w:kern w:val="44"/>
          <w:sz w:val="24"/>
          <w:szCs w:val="24"/>
        </w:rPr>
        <w:t>）</w:t>
      </w:r>
      <w:bookmarkEnd w:id="26"/>
      <w:bookmarkEnd w:id="27"/>
      <w:bookmarkEnd w:id="28"/>
      <w:bookmarkEnd w:id="29"/>
      <w:bookmarkEnd w:id="30"/>
      <w:bookmarkEnd w:id="31"/>
      <w:r>
        <w:rPr>
          <w:rFonts w:hint="eastAsia" w:ascii="宋体" w:hAnsi="宋体" w:eastAsia="宋体" w:cs="宋体"/>
          <w:kern w:val="44"/>
          <w:sz w:val="24"/>
          <w:szCs w:val="24"/>
        </w:rPr>
        <w:t>总监理工程师最低要求</w:t>
      </w:r>
    </w:p>
    <w:p>
      <w:pPr>
        <w:pStyle w:val="19"/>
        <w:rPr>
          <w:rFonts w:hint="eastAsia" w:ascii="宋体" w:hAnsi="宋体" w:eastAsia="宋体" w:cs="宋体"/>
          <w:sz w:val="24"/>
          <w:szCs w:val="24"/>
        </w:rPr>
      </w:pPr>
    </w:p>
    <w:tbl>
      <w:tblPr>
        <w:tblStyle w:val="20"/>
        <w:tblW w:w="53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238"/>
        <w:gridCol w:w="842"/>
        <w:gridCol w:w="2710"/>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48"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标段编号</w:t>
            </w:r>
          </w:p>
        </w:tc>
        <w:tc>
          <w:tcPr>
            <w:tcW w:w="636"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432"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93"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资 格 要 求</w:t>
            </w:r>
          </w:p>
        </w:tc>
        <w:tc>
          <w:tcPr>
            <w:tcW w:w="1588" w:type="pct"/>
            <w:vAlign w:val="center"/>
          </w:tcPr>
          <w:p>
            <w:pPr>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jc w:val="center"/>
        </w:trPr>
        <w:tc>
          <w:tcPr>
            <w:tcW w:w="948" w:type="pct"/>
            <w:vAlign w:val="center"/>
          </w:tcPr>
          <w:p>
            <w:pPr>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E6109013546ju08bu319001</w:t>
            </w:r>
          </w:p>
        </w:tc>
        <w:tc>
          <w:tcPr>
            <w:tcW w:w="636" w:type="pct"/>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总监理</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工程师</w:t>
            </w:r>
          </w:p>
        </w:tc>
        <w:tc>
          <w:tcPr>
            <w:tcW w:w="432"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393" w:type="pct"/>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工程师及以上技术职称，持有交通部颁发的监理工程师证书，近五年担任过 1 个类似项目的总监理工程师。</w:t>
            </w:r>
          </w:p>
        </w:tc>
        <w:tc>
          <w:tcPr>
            <w:tcW w:w="1588" w:type="pct"/>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主要人员在岗要求须为无在岗项目（指目前未在其他项目上任职，或虽在其他项目上任职但本项目中标后能够从该项目撤离）。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000" w:type="pct"/>
            <w:gridSpan w:val="5"/>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注：业绩证明材料需提供合同或中标通知书或委托人出具的项目负责人业绩证明材料。</w:t>
            </w:r>
          </w:p>
        </w:tc>
      </w:tr>
    </w:tbl>
    <w:p>
      <w:pPr>
        <w:pStyle w:val="18"/>
        <w:spacing w:before="0" w:beforeAutospacing="0" w:after="0" w:afterAutospacing="0" w:line="440" w:lineRule="exact"/>
        <w:rPr>
          <w:rFonts w:ascii="新宋体" w:hAnsi="新宋体" w:eastAsia="新宋体" w:cs="新宋体"/>
          <w:b/>
          <w:bCs/>
        </w:rPr>
      </w:pPr>
      <w:r>
        <w:rPr>
          <w:rFonts w:hint="eastAsia" w:ascii="新宋体" w:hAnsi="新宋体" w:eastAsia="新宋体" w:cs="新宋体"/>
          <w:b/>
          <w:bCs/>
          <w:color w:val="auto"/>
          <w:kern w:val="0"/>
          <w:sz w:val="24"/>
          <w:shd w:val="clear" w:color="auto" w:fill="FFFFFF"/>
          <w:lang w:val="en-US" w:eastAsia="zh-CN" w:bidi="ar"/>
        </w:rPr>
        <w:t>2</w:t>
      </w:r>
      <w:r>
        <w:rPr>
          <w:rFonts w:hint="eastAsia" w:ascii="新宋体" w:hAnsi="新宋体" w:eastAsia="新宋体" w:cs="新宋体"/>
          <w:b/>
          <w:bCs/>
          <w:color w:val="auto"/>
          <w:kern w:val="0"/>
          <w:sz w:val="24"/>
          <w:shd w:val="clear" w:color="auto" w:fill="FFFFFF"/>
          <w:lang w:bidi="ar"/>
        </w:rPr>
        <w:t>.</w:t>
      </w:r>
      <w:bookmarkEnd w:id="1"/>
      <w:bookmarkEnd w:id="11"/>
      <w:r>
        <w:rPr>
          <w:rFonts w:hint="eastAsia" w:ascii="新宋体" w:hAnsi="新宋体" w:eastAsia="新宋体" w:cs="新宋体"/>
          <w:b/>
          <w:bCs/>
        </w:rPr>
        <w:t>招标文件的获取</w:t>
      </w:r>
    </w:p>
    <w:p>
      <w:pPr>
        <w:pStyle w:val="18"/>
        <w:spacing w:before="0" w:beforeAutospacing="0" w:after="0" w:afterAutospacing="0" w:line="440" w:lineRule="exact"/>
        <w:ind w:firstLine="480" w:firstLineChars="200"/>
        <w:rPr>
          <w:rFonts w:ascii="新宋体" w:hAnsi="新宋体" w:eastAsia="新宋体" w:cs="新宋体"/>
        </w:rPr>
      </w:pPr>
      <w:r>
        <w:rPr>
          <w:rFonts w:hint="eastAsia" w:ascii="新宋体" w:hAnsi="新宋体" w:eastAsia="新宋体" w:cs="新宋体"/>
          <w:lang w:val="en-US" w:eastAsia="zh-CN"/>
        </w:rPr>
        <w:t>2</w:t>
      </w:r>
      <w:r>
        <w:rPr>
          <w:rFonts w:hint="eastAsia" w:ascii="新宋体" w:hAnsi="新宋体" w:eastAsia="新宋体" w:cs="新宋体"/>
        </w:rPr>
        <w:t>.1 凡有意参加投标者，请于 2022年8月</w:t>
      </w:r>
      <w:r>
        <w:rPr>
          <w:rFonts w:hint="eastAsia" w:ascii="新宋体" w:hAnsi="新宋体" w:eastAsia="新宋体" w:cs="新宋体"/>
          <w:lang w:val="en-US" w:eastAsia="zh-CN"/>
        </w:rPr>
        <w:t>19</w:t>
      </w:r>
      <w:r>
        <w:rPr>
          <w:rFonts w:hint="eastAsia" w:ascii="新宋体" w:hAnsi="新宋体" w:eastAsia="新宋体" w:cs="新宋体"/>
        </w:rPr>
        <w:t>日 09时00分 至2022年8月</w:t>
      </w:r>
      <w:r>
        <w:rPr>
          <w:rFonts w:hint="eastAsia" w:ascii="新宋体" w:hAnsi="新宋体" w:eastAsia="新宋体" w:cs="新宋体"/>
          <w:lang w:val="en-US" w:eastAsia="zh-CN"/>
        </w:rPr>
        <w:t>25</w:t>
      </w:r>
      <w:r>
        <w:rPr>
          <w:rFonts w:hint="eastAsia" w:ascii="新宋体" w:hAnsi="新宋体" w:eastAsia="新宋体" w:cs="新宋体"/>
        </w:rPr>
        <w:t>日9时00分，按照电子招标流程报名后，在陕西省公共资源交易平台（www.sxggzyjy.cn）下载招标文件。注：</w:t>
      </w:r>
      <w:r>
        <w:rPr>
          <w:rFonts w:hint="eastAsia" w:ascii="新宋体" w:hAnsi="新宋体" w:eastAsia="新宋体" w:cs="新宋体"/>
        </w:rPr>
        <w:fldChar w:fldCharType="begin"/>
      </w:r>
      <w:r>
        <w:rPr>
          <w:rFonts w:hint="eastAsia" w:ascii="新宋体" w:hAnsi="新宋体" w:eastAsia="新宋体" w:cs="新宋体"/>
        </w:rPr>
        <w:instrText xml:space="preserve"> HYPERLINK "mailto:投标人在网上报名后，应将单位介绍信、经办人身份证复印件、网上投标确认单递交至陕西建设监理有限公司（安康市汉滨区黄沟路兴科明珠04-05商铺）备存；因疫情防控影响，投标企业亦可将介绍信、经办人身份证复印件、网上投标确认单扫描件发送至邮箱sxjszb_ak@163.com。" </w:instrText>
      </w:r>
      <w:r>
        <w:rPr>
          <w:rFonts w:hint="eastAsia" w:ascii="新宋体" w:hAnsi="新宋体" w:eastAsia="新宋体" w:cs="新宋体"/>
        </w:rPr>
        <w:fldChar w:fldCharType="separate"/>
      </w:r>
      <w:r>
        <w:rPr>
          <w:rFonts w:hint="eastAsia" w:ascii="新宋体" w:hAnsi="新宋体" w:eastAsia="新宋体" w:cs="新宋体"/>
        </w:rPr>
        <w:t>因疫情防控原因，投标企业可将介绍信、身份证复印件、营业执照复印件、资质证书复印件、网上投标确认单发送至邮箱754357714@qq.com，购买招标文件，无需到现场。</w:t>
      </w:r>
      <w:r>
        <w:rPr>
          <w:rFonts w:hint="eastAsia" w:ascii="新宋体" w:hAnsi="新宋体" w:eastAsia="新宋体" w:cs="新宋体"/>
        </w:rPr>
        <w:fldChar w:fldCharType="end"/>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0" w:beforeLines="150" w:after="0" w:afterLines="100" w:line="360" w:lineRule="auto"/>
        <w:ind w:left="-181" w:right="-181" w:firstLine="642" w:firstLineChars="200"/>
        <w:jc w:val="center"/>
        <w:textAlignment w:val="baseline"/>
        <w:rPr>
          <w:rFonts w:hint="eastAsia" w:ascii="新宋体" w:hAnsi="新宋体" w:eastAsia="新宋体" w:cs="新宋体"/>
          <w:b/>
          <w:bCs/>
          <w:snapToGrid w:val="0"/>
          <w:color w:val="000000"/>
          <w:sz w:val="32"/>
          <w:szCs w:val="24"/>
          <w:lang w:val="en-US" w:eastAsia="zh-CN" w:bidi="ar-SA"/>
        </w:rPr>
      </w:pPr>
      <w:r>
        <w:rPr>
          <w:rFonts w:hint="eastAsia" w:ascii="新宋体" w:hAnsi="新宋体" w:eastAsia="新宋体" w:cs="新宋体"/>
          <w:b/>
          <w:bCs/>
          <w:snapToGrid w:val="0"/>
          <w:color w:val="000000"/>
          <w:sz w:val="32"/>
          <w:szCs w:val="24"/>
          <w:lang w:val="en-US" w:eastAsia="zh-CN" w:bidi="ar-SA"/>
        </w:rPr>
        <w:t>投标人须知前附表</w:t>
      </w:r>
    </w:p>
    <w:p>
      <w:pPr>
        <w:pStyle w:val="2"/>
        <w:rPr>
          <w:rFonts w:hint="eastAsia" w:ascii="宋体" w:hAnsi="宋体" w:eastAsia="宋体" w:cs="宋体"/>
          <w:sz w:val="20"/>
          <w:szCs w:val="28"/>
          <w:lang w:val="en-US" w:eastAsia="zh-CN"/>
        </w:rPr>
      </w:pPr>
      <w:r>
        <w:rPr>
          <w:rFonts w:hint="eastAsia" w:ascii="宋体" w:hAnsi="宋体" w:eastAsia="宋体" w:cs="宋体"/>
          <w:sz w:val="20"/>
          <w:szCs w:val="28"/>
          <w:lang w:val="en-US" w:eastAsia="zh-CN"/>
        </w:rPr>
        <w:t>①“投标人须知前附表”中附录表格同属“投标人须知前附表”内容，具有同等效力。前附表与须知正文不一致之处，以前附表为准。</w:t>
      </w:r>
    </w:p>
    <w:p>
      <w:pPr>
        <w:pStyle w:val="2"/>
        <w:rPr>
          <w:rFonts w:hint="eastAsia"/>
          <w:lang w:val="en-US" w:eastAsia="zh-CN"/>
        </w:rPr>
      </w:pPr>
    </w:p>
    <w:tbl>
      <w:tblPr>
        <w:tblStyle w:val="20"/>
        <w:tblpPr w:leftFromText="180" w:rightFromText="180" w:vertAnchor="text" w:tblpXSpec="center" w:tblpY="1"/>
        <w:tblOverlap w:val="never"/>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281"/>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2281" w:type="dxa"/>
            <w:noWrap w:val="0"/>
            <w:vAlign w:val="center"/>
          </w:tcPr>
          <w:p>
            <w:pPr>
              <w:spacing w:line="300" w:lineRule="exact"/>
              <w:jc w:val="center"/>
              <w:rPr>
                <w:rFonts w:hint="eastAsia" w:ascii="宋体" w:hAnsi="宋体" w:eastAsia="宋体" w:cs="宋体"/>
                <w:b/>
                <w:sz w:val="24"/>
                <w:szCs w:val="24"/>
              </w:rPr>
            </w:pPr>
            <w:r>
              <w:rPr>
                <w:rFonts w:hint="eastAsia" w:ascii="宋体" w:hAnsi="宋体" w:eastAsia="宋体" w:cs="宋体"/>
                <w:b/>
                <w:sz w:val="24"/>
                <w:szCs w:val="24"/>
              </w:rPr>
              <w:t>条 款 名 称</w:t>
            </w:r>
          </w:p>
        </w:tc>
        <w:tc>
          <w:tcPr>
            <w:tcW w:w="6042" w:type="dxa"/>
            <w:noWrap w:val="0"/>
            <w:vAlign w:val="center"/>
          </w:tcPr>
          <w:p>
            <w:pPr>
              <w:spacing w:line="300" w:lineRule="exact"/>
              <w:jc w:val="center"/>
              <w:rPr>
                <w:rFonts w:hint="eastAsia" w:ascii="宋体" w:hAnsi="宋体" w:eastAsia="宋体" w:cs="宋体"/>
                <w:b/>
                <w:sz w:val="24"/>
                <w:szCs w:val="24"/>
              </w:rPr>
            </w:pPr>
            <w:r>
              <w:rPr>
                <w:rFonts w:hint="eastAsia" w:ascii="宋体" w:hAnsi="宋体" w:eastAsia="宋体" w:cs="宋体"/>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1.1.2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招标人</w:t>
            </w:r>
          </w:p>
        </w:tc>
        <w:tc>
          <w:tcPr>
            <w:tcW w:w="6042" w:type="dxa"/>
            <w:noWrap w:val="0"/>
            <w:vAlign w:val="center"/>
          </w:tcPr>
          <w:p>
            <w:pPr>
              <w:pStyle w:val="64"/>
              <w:spacing w:line="330" w:lineRule="exact"/>
              <w:ind w:right="-5366" w:rightChars="-1677"/>
              <w:rPr>
                <w:rFonts w:hint="eastAsia" w:ascii="宋体" w:hAnsi="宋体" w:eastAsia="宋体" w:cs="宋体"/>
                <w:sz w:val="24"/>
                <w:szCs w:val="24"/>
              </w:rPr>
            </w:pPr>
            <w:r>
              <w:rPr>
                <w:rFonts w:hint="eastAsia" w:ascii="宋体" w:hAnsi="宋体" w:eastAsia="宋体" w:cs="宋体"/>
                <w:sz w:val="24"/>
                <w:szCs w:val="24"/>
              </w:rPr>
              <w:t xml:space="preserve">名  称：安康市公路局 </w:t>
            </w:r>
          </w:p>
          <w:p>
            <w:pPr>
              <w:pStyle w:val="64"/>
              <w:spacing w:line="330" w:lineRule="exact"/>
              <w:ind w:right="-5366" w:rightChars="-1677"/>
              <w:rPr>
                <w:rFonts w:hint="eastAsia" w:ascii="宋体" w:hAnsi="宋体" w:eastAsia="宋体" w:cs="宋体"/>
                <w:sz w:val="24"/>
                <w:szCs w:val="24"/>
              </w:rPr>
            </w:pPr>
            <w:r>
              <w:rPr>
                <w:rFonts w:hint="eastAsia" w:ascii="宋体" w:hAnsi="宋体" w:eastAsia="宋体" w:cs="宋体"/>
                <w:sz w:val="24"/>
                <w:szCs w:val="24"/>
              </w:rPr>
              <w:t>地  址：安康市汉滨区巴山中路101号</w:t>
            </w:r>
          </w:p>
          <w:p>
            <w:pPr>
              <w:pStyle w:val="64"/>
              <w:spacing w:line="330" w:lineRule="exact"/>
              <w:ind w:right="-5366" w:rightChars="-1677"/>
              <w:rPr>
                <w:rFonts w:hint="eastAsia" w:ascii="宋体" w:hAnsi="宋体" w:eastAsia="宋体" w:cs="宋体"/>
                <w:sz w:val="24"/>
                <w:szCs w:val="24"/>
              </w:rPr>
            </w:pPr>
            <w:r>
              <w:rPr>
                <w:rFonts w:hint="eastAsia" w:ascii="宋体" w:hAnsi="宋体" w:eastAsia="宋体" w:cs="宋体"/>
                <w:sz w:val="24"/>
                <w:szCs w:val="24"/>
              </w:rPr>
              <w:t xml:space="preserve">联系人：陈先生 </w:t>
            </w:r>
          </w:p>
          <w:p>
            <w:pPr>
              <w:pStyle w:val="64"/>
              <w:spacing w:line="330" w:lineRule="exact"/>
              <w:ind w:right="-5366" w:rightChars="-1677"/>
              <w:rPr>
                <w:rFonts w:hint="eastAsia" w:ascii="宋体" w:hAnsi="宋体" w:eastAsia="宋体" w:cs="宋体"/>
                <w:sz w:val="24"/>
                <w:szCs w:val="24"/>
              </w:rPr>
            </w:pPr>
            <w:r>
              <w:rPr>
                <w:rFonts w:hint="eastAsia" w:ascii="宋体" w:hAnsi="宋体" w:eastAsia="宋体" w:cs="宋体"/>
                <w:sz w:val="24"/>
                <w:szCs w:val="24"/>
              </w:rPr>
              <w:t xml:space="preserve">电  话：0915-3339000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1.1.3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招标代理机构</w:t>
            </w:r>
          </w:p>
        </w:tc>
        <w:tc>
          <w:tcPr>
            <w:tcW w:w="6042" w:type="dxa"/>
            <w:noWrap w:val="0"/>
            <w:vAlign w:val="top"/>
          </w:tcPr>
          <w:p>
            <w:pPr>
              <w:spacing w:line="290" w:lineRule="exac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val="zh-TW"/>
              </w:rPr>
              <w:t>东方正博项目管理有限公司</w:t>
            </w:r>
          </w:p>
          <w:p>
            <w:pPr>
              <w:spacing w:line="290" w:lineRule="exact"/>
              <w:rPr>
                <w:rFonts w:hint="eastAsia" w:ascii="宋体" w:hAnsi="宋体" w:eastAsia="宋体" w:cs="宋体"/>
                <w:sz w:val="24"/>
                <w:szCs w:val="24"/>
              </w:rPr>
            </w:pPr>
            <w:r>
              <w:rPr>
                <w:rFonts w:hint="eastAsia" w:ascii="宋体" w:hAnsi="宋体" w:eastAsia="宋体" w:cs="宋体"/>
                <w:sz w:val="24"/>
                <w:szCs w:val="24"/>
              </w:rPr>
              <w:t>地  址：安康市汉滨区城市风景1号楼北侧楼5楼</w:t>
            </w:r>
          </w:p>
          <w:p>
            <w:pPr>
              <w:spacing w:line="290" w:lineRule="exact"/>
              <w:rPr>
                <w:rFonts w:hint="eastAsia" w:ascii="宋体" w:hAnsi="宋体" w:eastAsia="宋体" w:cs="宋体"/>
                <w:sz w:val="24"/>
                <w:szCs w:val="24"/>
              </w:rPr>
            </w:pPr>
            <w:r>
              <w:rPr>
                <w:rFonts w:hint="eastAsia" w:ascii="宋体" w:hAnsi="宋体" w:eastAsia="宋体" w:cs="宋体"/>
                <w:sz w:val="24"/>
                <w:szCs w:val="24"/>
              </w:rPr>
              <w:t xml:space="preserve">联系人：熊玉兰  </w:t>
            </w:r>
          </w:p>
          <w:p>
            <w:pPr>
              <w:spacing w:line="290" w:lineRule="exact"/>
              <w:rPr>
                <w:rFonts w:hint="eastAsia" w:ascii="宋体" w:hAnsi="宋体" w:eastAsia="宋体" w:cs="宋体"/>
                <w:sz w:val="24"/>
                <w:szCs w:val="24"/>
              </w:rPr>
            </w:pPr>
            <w:r>
              <w:rPr>
                <w:rFonts w:hint="eastAsia" w:ascii="宋体" w:hAnsi="宋体" w:eastAsia="宋体" w:cs="宋体"/>
                <w:sz w:val="24"/>
                <w:szCs w:val="24"/>
              </w:rPr>
              <w:t>电  话：0915-3291555</w:t>
            </w:r>
          </w:p>
          <w:p>
            <w:pPr>
              <w:spacing w:line="300" w:lineRule="exact"/>
              <w:rPr>
                <w:rFonts w:hint="eastAsia" w:ascii="宋体" w:hAnsi="宋体" w:eastAsia="宋体" w:cs="宋体"/>
                <w:sz w:val="24"/>
                <w:szCs w:val="24"/>
              </w:rPr>
            </w:pPr>
            <w:r>
              <w:rPr>
                <w:rFonts w:hint="eastAsia" w:ascii="宋体" w:hAnsi="宋体" w:eastAsia="宋体" w:cs="宋体"/>
                <w:sz w:val="24"/>
                <w:szCs w:val="24"/>
              </w:rPr>
              <w:t>邮  箱：754357714@qq.com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1.1.4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招标项目名称</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S211桑树沟任河大桥、紫阳任河嘴汉江大桥、S541安康汉江一桥3座船舶碰撞桥梁隐患治理工程施工监理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1.1.5</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标段建设地点</w:t>
            </w:r>
          </w:p>
        </w:tc>
        <w:tc>
          <w:tcPr>
            <w:tcW w:w="6042"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安康市汉滨区、紫阳县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1.2.1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资金来源</w:t>
            </w:r>
          </w:p>
        </w:tc>
        <w:tc>
          <w:tcPr>
            <w:tcW w:w="6042" w:type="dxa"/>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中央车购税和省级交通资金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1.2.2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资金落实情况</w:t>
            </w:r>
          </w:p>
        </w:tc>
        <w:tc>
          <w:tcPr>
            <w:tcW w:w="6042" w:type="dxa"/>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1.3.1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招标范围</w:t>
            </w:r>
          </w:p>
        </w:tc>
        <w:tc>
          <w:tcPr>
            <w:tcW w:w="6042" w:type="dxa"/>
            <w:noWrap w:val="0"/>
            <w:vAlign w:val="center"/>
          </w:tcPr>
          <w:p>
            <w:pPr>
              <w:spacing w:line="320" w:lineRule="exact"/>
              <w:rPr>
                <w:rFonts w:hint="eastAsia" w:ascii="宋体" w:hAnsi="宋体" w:eastAsia="宋体" w:cs="宋体"/>
                <w:sz w:val="24"/>
                <w:szCs w:val="24"/>
              </w:rPr>
            </w:pPr>
            <w:r>
              <w:rPr>
                <w:rFonts w:hint="eastAsia" w:ascii="宋体" w:hAnsi="宋体" w:eastAsia="宋体" w:cs="宋体"/>
                <w:kern w:val="0"/>
                <w:sz w:val="24"/>
                <w:szCs w:val="24"/>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1.3.2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施工监理服务期限</w:t>
            </w:r>
          </w:p>
        </w:tc>
        <w:tc>
          <w:tcPr>
            <w:tcW w:w="6042" w:type="dxa"/>
            <w:noWrap w:val="0"/>
            <w:vAlign w:val="center"/>
          </w:tcPr>
          <w:p>
            <w:pPr>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监理服务期：</w:t>
            </w:r>
            <w:r>
              <w:rPr>
                <w:rFonts w:hint="eastAsia" w:ascii="宋体" w:hAnsi="宋体" w:eastAsia="宋体" w:cs="宋体"/>
                <w:kern w:val="0"/>
                <w:sz w:val="24"/>
                <w:szCs w:val="24"/>
                <w:u w:val="single"/>
              </w:rPr>
              <w:t>6个月</w:t>
            </w:r>
          </w:p>
          <w:p>
            <w:pPr>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缺陷责任期：</w:t>
            </w:r>
            <w:r>
              <w:rPr>
                <w:rFonts w:hint="eastAsia" w:ascii="宋体" w:hAnsi="宋体" w:eastAsia="宋体" w:cs="宋体"/>
                <w:kern w:val="0"/>
                <w:sz w:val="24"/>
                <w:szCs w:val="24"/>
                <w:u w:val="singl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1.3.3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质量要求</w:t>
            </w:r>
          </w:p>
        </w:tc>
        <w:tc>
          <w:tcPr>
            <w:tcW w:w="6042" w:type="dxa"/>
            <w:noWrap w:val="0"/>
            <w:vAlign w:val="center"/>
          </w:tcPr>
          <w:p>
            <w:pPr>
              <w:spacing w:line="290" w:lineRule="exact"/>
              <w:rPr>
                <w:rFonts w:hint="eastAsia" w:ascii="宋体" w:hAnsi="宋体" w:eastAsia="宋体" w:cs="宋体"/>
                <w:sz w:val="24"/>
                <w:szCs w:val="24"/>
                <w:u w:val="single"/>
              </w:rPr>
            </w:pPr>
            <w:r>
              <w:rPr>
                <w:rFonts w:hint="eastAsia" w:ascii="宋体" w:hAnsi="宋体" w:eastAsia="宋体" w:cs="宋体"/>
                <w:sz w:val="24"/>
                <w:szCs w:val="24"/>
              </w:rPr>
              <w:t>交工验收的质量评定：</w:t>
            </w:r>
            <w:r>
              <w:rPr>
                <w:rFonts w:hint="eastAsia" w:ascii="宋体" w:hAnsi="宋体" w:eastAsia="宋体" w:cs="宋体"/>
                <w:sz w:val="24"/>
                <w:szCs w:val="24"/>
                <w:u w:val="single"/>
              </w:rPr>
              <w:t xml:space="preserve"> 合格  </w:t>
            </w:r>
          </w:p>
          <w:p>
            <w:pPr>
              <w:spacing w:line="320" w:lineRule="exact"/>
              <w:rPr>
                <w:rFonts w:hint="eastAsia" w:ascii="宋体" w:hAnsi="宋体" w:eastAsia="宋体" w:cs="宋体"/>
                <w:sz w:val="24"/>
                <w:szCs w:val="24"/>
                <w:u w:val="single"/>
              </w:rPr>
            </w:pPr>
            <w:r>
              <w:rPr>
                <w:rFonts w:hint="eastAsia" w:ascii="宋体" w:hAnsi="宋体" w:eastAsia="宋体" w:cs="宋体"/>
                <w:sz w:val="24"/>
                <w:szCs w:val="24"/>
              </w:rPr>
              <w:t>竣工验收的质量评定：</w:t>
            </w:r>
            <w:r>
              <w:rPr>
                <w:rFonts w:hint="eastAsia" w:ascii="宋体" w:hAnsi="宋体" w:eastAsia="宋体" w:cs="宋体"/>
                <w:sz w:val="24"/>
                <w:szCs w:val="24"/>
                <w:u w:val="single"/>
              </w:rPr>
              <w:t xml:space="preserve"> 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1.3.4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安全目标</w:t>
            </w:r>
          </w:p>
        </w:tc>
        <w:tc>
          <w:tcPr>
            <w:tcW w:w="6042" w:type="dxa"/>
            <w:noWrap w:val="0"/>
            <w:vAlign w:val="center"/>
          </w:tcPr>
          <w:p>
            <w:pPr>
              <w:spacing w:line="320" w:lineRule="exact"/>
              <w:rPr>
                <w:rFonts w:hint="eastAsia" w:ascii="宋体" w:hAnsi="宋体" w:eastAsia="宋体" w:cs="宋体"/>
                <w:sz w:val="24"/>
                <w:szCs w:val="24"/>
                <w:u w:val="single"/>
              </w:rPr>
            </w:pPr>
            <w:r>
              <w:rPr>
                <w:rFonts w:hint="eastAsia" w:ascii="宋体" w:hAnsi="宋体" w:eastAsia="宋体" w:cs="宋体"/>
                <w:sz w:val="24"/>
                <w:szCs w:val="24"/>
              </w:rPr>
              <w:t>零伤亡率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1.4.1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投标人资质条件、能力</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和信誉</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资质条件：见附录1</w:t>
            </w:r>
          </w:p>
          <w:p>
            <w:pPr>
              <w:spacing w:line="300" w:lineRule="exact"/>
              <w:rPr>
                <w:rFonts w:hint="eastAsia" w:ascii="宋体" w:hAnsi="宋体" w:eastAsia="宋体" w:cs="宋体"/>
                <w:sz w:val="24"/>
                <w:szCs w:val="24"/>
              </w:rPr>
            </w:pPr>
            <w:r>
              <w:rPr>
                <w:rFonts w:hint="eastAsia" w:ascii="宋体" w:hAnsi="宋体" w:eastAsia="宋体" w:cs="宋体"/>
                <w:sz w:val="24"/>
                <w:szCs w:val="24"/>
              </w:rPr>
              <w:t>业绩要求：见附录2</w:t>
            </w:r>
          </w:p>
          <w:p>
            <w:pPr>
              <w:spacing w:line="300" w:lineRule="exact"/>
              <w:rPr>
                <w:rFonts w:hint="eastAsia" w:ascii="宋体" w:hAnsi="宋体" w:eastAsia="宋体" w:cs="宋体"/>
                <w:sz w:val="24"/>
                <w:szCs w:val="24"/>
              </w:rPr>
            </w:pPr>
            <w:r>
              <w:rPr>
                <w:rFonts w:hint="eastAsia" w:ascii="宋体" w:hAnsi="宋体" w:eastAsia="宋体" w:cs="宋体"/>
                <w:sz w:val="24"/>
                <w:szCs w:val="24"/>
              </w:rPr>
              <w:t>信誉要求：见附录3</w:t>
            </w:r>
          </w:p>
          <w:p>
            <w:pPr>
              <w:spacing w:line="300" w:lineRule="exact"/>
              <w:rPr>
                <w:rFonts w:hint="eastAsia" w:ascii="宋体" w:hAnsi="宋体" w:eastAsia="宋体" w:cs="宋体"/>
                <w:sz w:val="24"/>
                <w:szCs w:val="24"/>
              </w:rPr>
            </w:pPr>
            <w:r>
              <w:rPr>
                <w:rFonts w:hint="eastAsia" w:ascii="宋体" w:hAnsi="宋体" w:eastAsia="宋体" w:cs="宋体"/>
                <w:sz w:val="24"/>
                <w:szCs w:val="24"/>
              </w:rPr>
              <w:t>总监理工程师资格：见附录4</w:t>
            </w:r>
          </w:p>
          <w:p>
            <w:pPr>
              <w:pStyle w:val="65"/>
              <w:spacing w:line="300" w:lineRule="exact"/>
              <w:rPr>
                <w:rFonts w:hint="eastAsia" w:ascii="宋体" w:hAnsi="宋体" w:eastAsia="宋体" w:cs="宋体"/>
                <w:sz w:val="24"/>
                <w:szCs w:val="24"/>
              </w:rPr>
            </w:pPr>
            <w:r>
              <w:rPr>
                <w:rFonts w:hint="eastAsia" w:ascii="宋体" w:hAnsi="宋体" w:eastAsia="宋体" w:cs="宋体"/>
                <w:sz w:val="24"/>
                <w:szCs w:val="24"/>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1.4.2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■不接受   □接受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1.4.3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投标人不得存在的其他关联情形</w:t>
            </w:r>
          </w:p>
        </w:tc>
        <w:tc>
          <w:tcPr>
            <w:tcW w:w="6042" w:type="dxa"/>
            <w:tcBorders>
              <w:tl2br w:val="single" w:color="auto" w:sz="4" w:space="0"/>
            </w:tcBorders>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1.4.4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投标人不得存在的其他不良状况或不良信用</w:t>
            </w:r>
          </w:p>
        </w:tc>
        <w:tc>
          <w:tcPr>
            <w:tcW w:w="6042" w:type="dxa"/>
            <w:noWrap w:val="0"/>
            <w:vAlign w:val="top"/>
          </w:tcPr>
          <w:p>
            <w:pPr>
              <w:spacing w:line="300" w:lineRule="exact"/>
              <w:jc w:val="left"/>
              <w:rPr>
                <w:rFonts w:hint="eastAsia" w:ascii="宋体" w:hAnsi="宋体" w:eastAsia="宋体" w:cs="宋体"/>
                <w:sz w:val="24"/>
                <w:szCs w:val="24"/>
              </w:rPr>
            </w:pPr>
            <w:r>
              <w:rPr>
                <w:rFonts w:hint="eastAsia" w:ascii="宋体" w:hAnsi="宋体" w:eastAsia="宋体" w:cs="宋体"/>
                <w:sz w:val="24"/>
                <w:szCs w:val="24"/>
              </w:rPr>
              <w:t>投标人须知正文第 1.4.4 条款规定的不良状况或不良信用记录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1.10.2</w:t>
            </w:r>
          </w:p>
        </w:tc>
        <w:tc>
          <w:tcPr>
            <w:tcW w:w="2281" w:type="dxa"/>
            <w:noWrap w:val="0"/>
            <w:tcMar>
              <w:top w:w="0" w:type="dxa"/>
              <w:left w:w="51" w:type="dxa"/>
              <w:bottom w:w="0" w:type="dxa"/>
              <w:right w:w="51" w:type="dxa"/>
            </w:tcMar>
            <w:vAlign w:val="center"/>
          </w:tcPr>
          <w:p>
            <w:pPr>
              <w:spacing w:line="300" w:lineRule="exact"/>
              <w:jc w:val="center"/>
              <w:rPr>
                <w:rFonts w:hint="eastAsia" w:ascii="宋体" w:hAnsi="宋体" w:eastAsia="宋体" w:cs="宋体"/>
                <w:spacing w:val="-11"/>
                <w:sz w:val="24"/>
                <w:szCs w:val="24"/>
              </w:rPr>
            </w:pPr>
            <w:r>
              <w:rPr>
                <w:rFonts w:hint="eastAsia" w:ascii="宋体" w:hAnsi="宋体" w:eastAsia="宋体" w:cs="宋体"/>
                <w:sz w:val="24"/>
                <w:szCs w:val="24"/>
              </w:rPr>
              <w:t>投标人在投标预备会前提出问题</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构成招标文件的其他材料</w:t>
            </w:r>
          </w:p>
        </w:tc>
        <w:tc>
          <w:tcPr>
            <w:tcW w:w="6042" w:type="dxa"/>
            <w:noWrap w:val="0"/>
            <w:vAlign w:val="center"/>
          </w:tcPr>
          <w:p>
            <w:pPr>
              <w:spacing w:line="300" w:lineRule="exact"/>
              <w:jc w:val="left"/>
              <w:rPr>
                <w:rFonts w:hint="eastAsia" w:ascii="宋体" w:hAnsi="宋体" w:eastAsia="宋体" w:cs="宋体"/>
                <w:sz w:val="24"/>
                <w:szCs w:val="24"/>
              </w:rPr>
            </w:pPr>
            <w:r>
              <w:rPr>
                <w:rFonts w:hint="eastAsia" w:ascii="宋体" w:hAnsi="宋体" w:eastAsia="宋体" w:cs="宋体"/>
                <w:sz w:val="24"/>
                <w:szCs w:val="24"/>
              </w:rPr>
              <w:t>补遗书（如有）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031" w:type="dxa"/>
            <w:vMerge w:val="restart"/>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2.2.1</w:t>
            </w:r>
          </w:p>
        </w:tc>
        <w:tc>
          <w:tcPr>
            <w:tcW w:w="2281" w:type="dxa"/>
            <w:vMerge w:val="restart"/>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投标人要求澄清招标文件</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时间：递交投标文件截止之日</w:t>
            </w:r>
            <w:r>
              <w:rPr>
                <w:rFonts w:hint="eastAsia" w:ascii="宋体" w:hAnsi="宋体" w:eastAsia="宋体" w:cs="宋体"/>
                <w:sz w:val="24"/>
                <w:szCs w:val="24"/>
                <w:u w:val="single"/>
              </w:rPr>
              <w:t xml:space="preserve"> 10 </w:t>
            </w:r>
            <w:r>
              <w:rPr>
                <w:rFonts w:hint="eastAsia" w:ascii="宋体" w:hAnsi="宋体" w:eastAsia="宋体" w:cs="宋体"/>
                <w:sz w:val="24"/>
                <w:szCs w:val="24"/>
              </w:rPr>
              <w:t>天前向（以招标人收到的时间为准）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1031" w:type="dxa"/>
            <w:vMerge w:val="continue"/>
            <w:noWrap w:val="0"/>
            <w:vAlign w:val="center"/>
          </w:tcPr>
          <w:p>
            <w:pPr>
              <w:spacing w:line="300" w:lineRule="exact"/>
              <w:rPr>
                <w:rFonts w:hint="eastAsia" w:ascii="宋体" w:hAnsi="宋体" w:eastAsia="宋体" w:cs="宋体"/>
                <w:sz w:val="24"/>
                <w:szCs w:val="24"/>
              </w:rPr>
            </w:pPr>
          </w:p>
        </w:tc>
        <w:tc>
          <w:tcPr>
            <w:tcW w:w="2281" w:type="dxa"/>
            <w:vMerge w:val="continue"/>
            <w:noWrap w:val="0"/>
            <w:vAlign w:val="center"/>
          </w:tcPr>
          <w:p>
            <w:pPr>
              <w:spacing w:line="300" w:lineRule="exact"/>
              <w:rPr>
                <w:rFonts w:hint="eastAsia" w:ascii="宋体" w:hAnsi="宋体" w:eastAsia="宋体" w:cs="宋体"/>
                <w:sz w:val="24"/>
                <w:szCs w:val="24"/>
              </w:rPr>
            </w:pP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形式：在查阅招标文件后如有问题，投标人应将疑问函件的电子文件（word 版和带公章的扫描版）发送至电子邮箱 754357714@qq.com，并电话告知招标代理。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2.2.2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招标文件澄清发出的形式</w:t>
            </w:r>
          </w:p>
        </w:tc>
        <w:tc>
          <w:tcPr>
            <w:tcW w:w="6042" w:type="dxa"/>
            <w:noWrap w:val="0"/>
            <w:vAlign w:val="center"/>
          </w:tcPr>
          <w:p>
            <w:pPr>
              <w:spacing w:line="300" w:lineRule="exact"/>
              <w:jc w:val="left"/>
              <w:rPr>
                <w:rFonts w:hint="eastAsia" w:ascii="宋体" w:hAnsi="宋体" w:eastAsia="宋体" w:cs="宋体"/>
                <w:sz w:val="24"/>
                <w:szCs w:val="24"/>
              </w:rPr>
            </w:pPr>
            <w:r>
              <w:rPr>
                <w:rFonts w:hint="eastAsia" w:ascii="宋体" w:hAnsi="宋体" w:eastAsia="宋体" w:cs="宋体"/>
                <w:sz w:val="24"/>
                <w:szCs w:val="24"/>
              </w:rPr>
              <w:t>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vMerge w:val="restart"/>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2.2.3</w:t>
            </w:r>
          </w:p>
        </w:tc>
        <w:tc>
          <w:tcPr>
            <w:tcW w:w="2281" w:type="dxa"/>
            <w:vMerge w:val="restart"/>
            <w:noWrap w:val="0"/>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投标人确认收到招标文件澄清</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时间：收到澄清后</w:t>
            </w:r>
            <w:r>
              <w:rPr>
                <w:rFonts w:hint="eastAsia" w:ascii="宋体" w:hAnsi="宋体" w:eastAsia="宋体" w:cs="宋体"/>
                <w:sz w:val="24"/>
                <w:szCs w:val="24"/>
                <w:u w:val="single"/>
              </w:rPr>
              <w:t xml:space="preserve"> 24 </w:t>
            </w:r>
            <w:r>
              <w:rPr>
                <w:rFonts w:hint="eastAsia" w:ascii="宋体" w:hAnsi="宋体" w:eastAsia="宋体" w:cs="宋体"/>
                <w:sz w:val="24"/>
                <w:szCs w:val="24"/>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1031" w:type="dxa"/>
            <w:vMerge w:val="continue"/>
            <w:noWrap w:val="0"/>
            <w:vAlign w:val="center"/>
          </w:tcPr>
          <w:p>
            <w:pPr>
              <w:spacing w:line="300" w:lineRule="exact"/>
              <w:rPr>
                <w:rFonts w:hint="eastAsia" w:ascii="宋体" w:hAnsi="宋体" w:eastAsia="宋体" w:cs="宋体"/>
                <w:sz w:val="24"/>
                <w:szCs w:val="24"/>
              </w:rPr>
            </w:pPr>
          </w:p>
        </w:tc>
        <w:tc>
          <w:tcPr>
            <w:tcW w:w="2281" w:type="dxa"/>
            <w:vMerge w:val="continue"/>
            <w:noWrap w:val="0"/>
            <w:vAlign w:val="center"/>
          </w:tcPr>
          <w:p>
            <w:pPr>
              <w:spacing w:line="300" w:lineRule="exact"/>
              <w:rPr>
                <w:rFonts w:hint="eastAsia" w:ascii="宋体" w:hAnsi="宋体" w:eastAsia="宋体" w:cs="宋体"/>
                <w:sz w:val="24"/>
                <w:szCs w:val="24"/>
              </w:rPr>
            </w:pP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形式：书面确认函形式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2.3.1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招标文件修改发出的形式</w:t>
            </w:r>
          </w:p>
        </w:tc>
        <w:tc>
          <w:tcPr>
            <w:tcW w:w="6042" w:type="dxa"/>
            <w:noWrap w:val="0"/>
            <w:vAlign w:val="center"/>
          </w:tcPr>
          <w:p>
            <w:pPr>
              <w:spacing w:line="300" w:lineRule="exact"/>
              <w:jc w:val="left"/>
              <w:rPr>
                <w:rFonts w:hint="eastAsia" w:ascii="宋体" w:hAnsi="宋体" w:eastAsia="宋体" w:cs="宋体"/>
                <w:sz w:val="24"/>
                <w:szCs w:val="24"/>
              </w:rPr>
            </w:pPr>
            <w:r>
              <w:rPr>
                <w:rFonts w:hint="eastAsia" w:ascii="宋体" w:hAnsi="宋体" w:eastAsia="宋体" w:cs="宋体"/>
                <w:sz w:val="24"/>
                <w:szCs w:val="24"/>
              </w:rPr>
              <w:t>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vMerge w:val="restart"/>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2.3.2</w:t>
            </w:r>
          </w:p>
        </w:tc>
        <w:tc>
          <w:tcPr>
            <w:tcW w:w="2281" w:type="dxa"/>
            <w:vMerge w:val="restart"/>
            <w:noWrap w:val="0"/>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投标人确认收到招标文件修改</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时间：收到澄清后</w:t>
            </w:r>
            <w:r>
              <w:rPr>
                <w:rFonts w:hint="eastAsia" w:ascii="宋体" w:hAnsi="宋体" w:eastAsia="宋体" w:cs="宋体"/>
                <w:sz w:val="24"/>
                <w:szCs w:val="24"/>
                <w:u w:val="single"/>
              </w:rPr>
              <w:t xml:space="preserve"> 24 </w:t>
            </w:r>
            <w:r>
              <w:rPr>
                <w:rFonts w:hint="eastAsia" w:ascii="宋体" w:hAnsi="宋体" w:eastAsia="宋体" w:cs="宋体"/>
                <w:sz w:val="24"/>
                <w:szCs w:val="24"/>
              </w:rPr>
              <w:t>小时内（以发出 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1031" w:type="dxa"/>
            <w:vMerge w:val="continue"/>
            <w:noWrap w:val="0"/>
            <w:vAlign w:val="center"/>
          </w:tcPr>
          <w:p>
            <w:pPr>
              <w:spacing w:line="300" w:lineRule="exact"/>
              <w:jc w:val="left"/>
              <w:rPr>
                <w:rFonts w:hint="eastAsia" w:ascii="宋体" w:hAnsi="宋体" w:eastAsia="宋体" w:cs="宋体"/>
                <w:sz w:val="24"/>
                <w:szCs w:val="24"/>
              </w:rPr>
            </w:pPr>
          </w:p>
        </w:tc>
        <w:tc>
          <w:tcPr>
            <w:tcW w:w="2281" w:type="dxa"/>
            <w:vMerge w:val="continue"/>
            <w:noWrap w:val="0"/>
            <w:vAlign w:val="center"/>
          </w:tcPr>
          <w:p>
            <w:pPr>
              <w:spacing w:line="300" w:lineRule="exact"/>
              <w:jc w:val="left"/>
              <w:rPr>
                <w:rFonts w:hint="eastAsia" w:ascii="宋体" w:hAnsi="宋体" w:eastAsia="宋体" w:cs="宋体"/>
                <w:sz w:val="24"/>
                <w:szCs w:val="24"/>
              </w:rPr>
            </w:pP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形式：书面确认函形式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3.1.1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构成投标文件的其他资料</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详见《第七章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3.2.1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增值税税金的计算方法</w:t>
            </w:r>
          </w:p>
        </w:tc>
        <w:tc>
          <w:tcPr>
            <w:tcW w:w="6042" w:type="dxa"/>
            <w:noWrap w:val="0"/>
            <w:vAlign w:val="center"/>
          </w:tcPr>
          <w:p>
            <w:pPr>
              <w:spacing w:line="300" w:lineRule="exact"/>
              <w:rPr>
                <w:rFonts w:hint="eastAsia" w:ascii="宋体" w:hAnsi="宋体" w:eastAsia="宋体" w:cs="宋体"/>
                <w:spacing w:val="-2"/>
                <w:sz w:val="24"/>
                <w:szCs w:val="24"/>
              </w:rPr>
            </w:pPr>
            <w:r>
              <w:rPr>
                <w:rFonts w:hint="eastAsia" w:ascii="宋体" w:hAnsi="宋体" w:eastAsia="宋体" w:cs="宋体"/>
                <w:spacing w:val="-2"/>
                <w:sz w:val="24"/>
                <w:szCs w:val="24"/>
              </w:rPr>
              <w:t>一般计税法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3.2.3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6042" w:type="dxa"/>
            <w:noWrap w:val="0"/>
            <w:vAlign w:val="center"/>
          </w:tcPr>
          <w:p>
            <w:pPr>
              <w:spacing w:line="300" w:lineRule="exact"/>
              <w:rPr>
                <w:rFonts w:hint="eastAsia" w:ascii="宋体" w:hAnsi="宋体" w:eastAsia="宋体" w:cs="宋体"/>
                <w:spacing w:val="-2"/>
                <w:sz w:val="24"/>
                <w:szCs w:val="24"/>
              </w:rPr>
            </w:pPr>
            <w:r>
              <w:rPr>
                <w:rFonts w:hint="eastAsia" w:ascii="宋体" w:hAnsi="宋体" w:eastAsia="宋体" w:cs="宋体"/>
                <w:sz w:val="24"/>
                <w:szCs w:val="24"/>
              </w:rPr>
              <w:t>■</w:t>
            </w:r>
            <w:r>
              <w:rPr>
                <w:rFonts w:hint="eastAsia" w:ascii="宋体" w:hAnsi="宋体" w:eastAsia="宋体" w:cs="宋体"/>
                <w:spacing w:val="-2"/>
                <w:sz w:val="24"/>
                <w:szCs w:val="24"/>
              </w:rPr>
              <w:t>总价</w:t>
            </w:r>
            <w:r>
              <w:rPr>
                <w:rFonts w:hint="eastAsia" w:ascii="宋体" w:hAnsi="宋体" w:eastAsia="宋体" w:cs="宋体"/>
                <w:sz w:val="24"/>
                <w:szCs w:val="24"/>
              </w:rPr>
              <w:t xml:space="preserve">   □</w:t>
            </w:r>
            <w:r>
              <w:rPr>
                <w:rFonts w:hint="eastAsia" w:ascii="宋体" w:hAnsi="宋体" w:eastAsia="宋体" w:cs="宋体"/>
                <w:spacing w:val="-2"/>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3.2.4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6042" w:type="dxa"/>
            <w:noWrap w:val="0"/>
            <w:vAlign w:val="center"/>
          </w:tcPr>
          <w:p>
            <w:pPr>
              <w:spacing w:line="300" w:lineRule="exact"/>
              <w:rPr>
                <w:rFonts w:hint="eastAsia" w:ascii="宋体" w:hAnsi="宋体" w:eastAsia="宋体" w:cs="宋体"/>
                <w:spacing w:val="-2"/>
                <w:sz w:val="24"/>
                <w:szCs w:val="24"/>
              </w:rPr>
            </w:pPr>
            <w:r>
              <w:rPr>
                <w:rFonts w:hint="eastAsia" w:ascii="宋体" w:hAnsi="宋体" w:eastAsia="宋体" w:cs="宋体"/>
                <w:sz w:val="24"/>
                <w:szCs w:val="24"/>
              </w:rPr>
              <w:t>□</w:t>
            </w:r>
            <w:r>
              <w:rPr>
                <w:rFonts w:hint="eastAsia" w:ascii="宋体" w:hAnsi="宋体" w:eastAsia="宋体" w:cs="宋体"/>
                <w:spacing w:val="-2"/>
                <w:sz w:val="24"/>
                <w:szCs w:val="24"/>
              </w:rPr>
              <w:t>无</w:t>
            </w:r>
            <w:r>
              <w:rPr>
                <w:rFonts w:hint="eastAsia" w:ascii="宋体" w:hAnsi="宋体" w:eastAsia="宋体" w:cs="宋体"/>
                <w:sz w:val="24"/>
                <w:szCs w:val="24"/>
              </w:rPr>
              <w:t xml:space="preserve">     ■</w:t>
            </w:r>
            <w:r>
              <w:rPr>
                <w:rFonts w:hint="eastAsia" w:ascii="宋体" w:hAnsi="宋体" w:eastAsia="宋体" w:cs="宋体"/>
                <w:spacing w:val="-2"/>
                <w:sz w:val="24"/>
                <w:szCs w:val="24"/>
              </w:rPr>
              <w:t>有</w:t>
            </w:r>
          </w:p>
          <w:p>
            <w:pPr>
              <w:spacing w:line="300" w:lineRule="exact"/>
              <w:rPr>
                <w:rFonts w:hint="eastAsia" w:ascii="宋体" w:hAnsi="宋体" w:eastAsia="宋体" w:cs="宋体"/>
                <w:sz w:val="24"/>
                <w:szCs w:val="24"/>
              </w:rPr>
            </w:pPr>
            <w:r>
              <w:rPr>
                <w:rFonts w:hint="eastAsia" w:ascii="宋体" w:hAnsi="宋体" w:eastAsia="宋体" w:cs="宋体"/>
                <w:sz w:val="24"/>
                <w:szCs w:val="24"/>
              </w:rPr>
              <w:t>施工监理标段最高限价：叁拾伍万元整（￥350000.00元），高于最高投标限价（或等于）的投标文件按否决其投标处理。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3.2.5</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投标报价的其他要求</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3.3.1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投标有效期</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自投标人提交投标文件截止之日起计算</w:t>
            </w:r>
            <w:r>
              <w:rPr>
                <w:rFonts w:hint="eastAsia" w:ascii="宋体" w:hAnsi="宋体" w:eastAsia="宋体" w:cs="宋体"/>
                <w:sz w:val="24"/>
                <w:szCs w:val="24"/>
                <w:u w:val="single"/>
              </w:rPr>
              <w:t xml:space="preserve"> 90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3.4.1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6042" w:type="dxa"/>
            <w:noWrap w:val="0"/>
            <w:vAlign w:val="center"/>
          </w:tcPr>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投标人应按本项规定递交投标保证金，并作为其投标文件的组成部分。投标保证金有效期应与投标有效期一致。招标人如果按本章正文第3.3.3项的规定延长了投标有效期，则投标保证金的有效期也相应延长。</w:t>
            </w:r>
          </w:p>
          <w:p>
            <w:pPr>
              <w:spacing w:line="340" w:lineRule="exact"/>
              <w:jc w:val="left"/>
              <w:rPr>
                <w:rFonts w:hint="eastAsia" w:ascii="宋体" w:hAnsi="宋体" w:eastAsia="宋体" w:cs="宋体"/>
                <w:sz w:val="24"/>
                <w:szCs w:val="24"/>
                <w:u w:val="single"/>
              </w:rPr>
            </w:pPr>
            <w:r>
              <w:rPr>
                <w:rFonts w:hint="eastAsia" w:ascii="宋体" w:hAnsi="宋体" w:eastAsia="宋体" w:cs="宋体"/>
                <w:sz w:val="24"/>
                <w:szCs w:val="24"/>
              </w:rPr>
              <w:t>投标保证金的金额</w:t>
            </w:r>
            <w:r>
              <w:rPr>
                <w:rFonts w:hint="eastAsia" w:ascii="宋体" w:hAnsi="宋体" w:eastAsia="宋体" w:cs="宋体"/>
                <w:b/>
                <w:bCs/>
                <w:sz w:val="24"/>
                <w:szCs w:val="24"/>
              </w:rPr>
              <w:t>：人民币伍仟元整（ ¥5000.00元）</w:t>
            </w:r>
          </w:p>
          <w:p>
            <w:pPr>
              <w:spacing w:line="340" w:lineRule="exact"/>
              <w:rPr>
                <w:rFonts w:hint="eastAsia" w:ascii="宋体" w:hAnsi="宋体" w:eastAsia="宋体" w:cs="宋体"/>
                <w:b/>
                <w:bCs/>
                <w:sz w:val="24"/>
                <w:szCs w:val="24"/>
              </w:rPr>
            </w:pPr>
            <w:r>
              <w:rPr>
                <w:rFonts w:hint="eastAsia" w:ascii="宋体" w:hAnsi="宋体" w:eastAsia="宋体" w:cs="宋体"/>
                <w:sz w:val="24"/>
                <w:szCs w:val="24"/>
              </w:rPr>
              <w:t>投标保证金可采用的形式：</w:t>
            </w:r>
            <w:r>
              <w:rPr>
                <w:rFonts w:hint="eastAsia" w:ascii="宋体" w:hAnsi="宋体" w:eastAsia="宋体" w:cs="宋体"/>
                <w:b/>
                <w:bCs/>
                <w:sz w:val="24"/>
                <w:szCs w:val="24"/>
              </w:rPr>
              <w:t>现金、支票、银行保函</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开户银行及账号如下：</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开户名称：安康市政务服务中心公共资源交易保证金专用账户</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开户银行：中国建设银行股份有限公司安康分行营业部</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账    号：61050166371100000321</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（保证金须从对公账户转入，在缴费时务必备注项目名称）</w:t>
            </w:r>
          </w:p>
          <w:p>
            <w:pPr>
              <w:spacing w:line="340" w:lineRule="exact"/>
              <w:jc w:val="left"/>
              <w:rPr>
                <w:rFonts w:hint="eastAsia" w:ascii="宋体" w:hAnsi="宋体" w:eastAsia="宋体" w:cs="宋体"/>
                <w:sz w:val="24"/>
                <w:szCs w:val="24"/>
              </w:rPr>
            </w:pPr>
            <w:r>
              <w:rPr>
                <w:rFonts w:hint="eastAsia" w:ascii="宋体" w:hAnsi="宋体" w:eastAsia="宋体" w:cs="宋体"/>
                <w:b/>
                <w:bCs/>
                <w:sz w:val="24"/>
                <w:szCs w:val="24"/>
              </w:rPr>
              <w:t>采用银行保函时，</w:t>
            </w:r>
            <w:r>
              <w:rPr>
                <w:rFonts w:hint="eastAsia" w:ascii="宋体" w:hAnsi="宋体" w:eastAsia="宋体" w:cs="宋体"/>
                <w:sz w:val="24"/>
                <w:szCs w:val="24"/>
              </w:rPr>
              <w:t>必须按照招标文件给定的保函格式开具，否则视为无效保函；采用银行保函时，出具保函的银行级别：由企业基本账户开户银行出具，若企业基本账户开户银行不具备出具银行保函资格的，则应当由其基本账户开户银行的上级银行出具。以银行保函形式递交的，应当为无条件不可撤销保函。</w:t>
            </w:r>
          </w:p>
          <w:p>
            <w:pPr>
              <w:spacing w:line="340" w:lineRule="exact"/>
              <w:jc w:val="left"/>
              <w:rPr>
                <w:rFonts w:hint="eastAsia" w:ascii="宋体" w:hAnsi="宋体" w:eastAsia="宋体" w:cs="宋体"/>
                <w:b/>
                <w:bCs/>
                <w:sz w:val="24"/>
                <w:szCs w:val="24"/>
              </w:rPr>
            </w:pPr>
            <w:r>
              <w:rPr>
                <w:rFonts w:hint="eastAsia" w:ascii="宋体" w:hAnsi="宋体" w:eastAsia="宋体" w:cs="宋体"/>
                <w:b/>
                <w:bCs/>
                <w:sz w:val="24"/>
                <w:szCs w:val="24"/>
              </w:rPr>
              <w:t>投标保证金的递交截止时间为：2022年</w:t>
            </w:r>
            <w:r>
              <w:rPr>
                <w:rFonts w:hint="eastAsia" w:ascii="宋体" w:hAnsi="宋体" w:eastAsia="宋体" w:cs="宋体"/>
                <w:b/>
                <w:bCs/>
                <w:sz w:val="24"/>
                <w:szCs w:val="24"/>
                <w:u w:val="single"/>
                <w:lang w:val="en-US" w:eastAsia="zh-CN"/>
              </w:rPr>
              <w:t>9</w:t>
            </w:r>
            <w:r>
              <w:rPr>
                <w:rFonts w:hint="eastAsia" w:ascii="宋体" w:hAnsi="宋体" w:eastAsia="宋体" w:cs="宋体"/>
                <w:b/>
                <w:bCs/>
                <w:sz w:val="24"/>
                <w:szCs w:val="24"/>
              </w:rPr>
              <w:t>月</w:t>
            </w:r>
            <w:r>
              <w:rPr>
                <w:rFonts w:hint="eastAsia" w:ascii="宋体" w:hAnsi="宋体" w:eastAsia="宋体" w:cs="宋体"/>
                <w:b/>
                <w:bCs/>
                <w:sz w:val="24"/>
                <w:szCs w:val="24"/>
                <w:u w:val="single"/>
                <w:lang w:val="en-US" w:eastAsia="zh-CN"/>
              </w:rPr>
              <w:t>9</w:t>
            </w:r>
            <w:r>
              <w:rPr>
                <w:rFonts w:hint="eastAsia" w:ascii="宋体" w:hAnsi="宋体" w:eastAsia="宋体" w:cs="宋体"/>
                <w:b/>
                <w:bCs/>
                <w:sz w:val="24"/>
                <w:szCs w:val="24"/>
              </w:rPr>
              <w:t>日</w:t>
            </w:r>
            <w:r>
              <w:rPr>
                <w:rFonts w:hint="eastAsia" w:ascii="宋体" w:hAnsi="宋体" w:eastAsia="宋体" w:cs="宋体"/>
                <w:b/>
                <w:bCs/>
                <w:sz w:val="24"/>
                <w:szCs w:val="24"/>
                <w:u w:val="single"/>
                <w:lang w:val="en-US" w:eastAsia="zh-CN"/>
              </w:rPr>
              <w:t>9</w:t>
            </w:r>
            <w:r>
              <w:rPr>
                <w:rFonts w:hint="eastAsia" w:ascii="宋体" w:hAnsi="宋体" w:eastAsia="宋体" w:cs="宋体"/>
                <w:b/>
                <w:bCs/>
                <w:sz w:val="24"/>
                <w:szCs w:val="24"/>
              </w:rPr>
              <w:t>:00时前</w:t>
            </w:r>
          </w:p>
          <w:p>
            <w:pPr>
              <w:spacing w:line="340" w:lineRule="exact"/>
              <w:rPr>
                <w:rFonts w:hint="eastAsia" w:ascii="宋体" w:hAnsi="宋体" w:eastAsia="宋体" w:cs="宋体"/>
                <w:b/>
                <w:bCs/>
                <w:sz w:val="24"/>
                <w:szCs w:val="24"/>
              </w:rPr>
            </w:pPr>
            <w:r>
              <w:rPr>
                <w:rFonts w:hint="eastAsia" w:ascii="宋体" w:hAnsi="宋体" w:eastAsia="宋体" w:cs="宋体"/>
                <w:sz w:val="24"/>
                <w:szCs w:val="24"/>
              </w:rPr>
              <w:t>备注：投标保证金缴纳凭证在转账成功后发送到754357714@qq.com邮箱并装入商务及技术文件中（未按规定交纳或复印件未装入投标文件视为放弃投标）。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3.4.3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投标保证金的利息计算原则</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1、如采用电汇形式，本项目投标保证金的收取单位为安康市公共资源交易中心，具体利息计算原则请详询安康市公共资源交易中心； </w:t>
            </w:r>
          </w:p>
          <w:p>
            <w:pPr>
              <w:spacing w:line="300" w:lineRule="exact"/>
              <w:rPr>
                <w:rFonts w:hint="eastAsia" w:ascii="宋体" w:hAnsi="宋体" w:eastAsia="宋体" w:cs="宋体"/>
                <w:sz w:val="24"/>
                <w:szCs w:val="24"/>
              </w:rPr>
            </w:pPr>
            <w:r>
              <w:rPr>
                <w:rFonts w:hint="eastAsia" w:ascii="宋体" w:hAnsi="宋体" w:eastAsia="宋体" w:cs="宋体"/>
                <w:sz w:val="24"/>
                <w:szCs w:val="24"/>
              </w:rPr>
              <w:t>2、如采用银行保函形式，不计息。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3.4.4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其他可以不予退还投标</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保证金的情形</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1、投标人在投标有效期内撤销或修改其投标文件； </w:t>
            </w:r>
          </w:p>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2、中标人在收到中标通知书后，无正当理由不与招标人订立合同，在签订合同时向招标人提出附加条件，或不按照招标文件要求提交履约保证金； </w:t>
            </w:r>
          </w:p>
          <w:p>
            <w:pPr>
              <w:spacing w:line="300" w:lineRule="exact"/>
              <w:rPr>
                <w:rFonts w:hint="eastAsia" w:ascii="宋体" w:hAnsi="宋体" w:eastAsia="宋体" w:cs="宋体"/>
                <w:sz w:val="24"/>
                <w:szCs w:val="24"/>
              </w:rPr>
            </w:pPr>
            <w:r>
              <w:rPr>
                <w:rFonts w:hint="eastAsia" w:ascii="宋体" w:hAnsi="宋体" w:eastAsia="宋体" w:cs="宋体"/>
                <w:sz w:val="24"/>
                <w:szCs w:val="24"/>
              </w:rPr>
              <w:t>3、投标人提交了虚假资料。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3.5</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资格审查资料的特殊要求</w:t>
            </w:r>
          </w:p>
        </w:tc>
        <w:tc>
          <w:tcPr>
            <w:tcW w:w="6042" w:type="dxa"/>
            <w:noWrap w:val="0"/>
            <w:vAlign w:val="center"/>
          </w:tcPr>
          <w:p>
            <w:pPr>
              <w:widowControl/>
              <w:jc w:val="left"/>
              <w:rPr>
                <w:rFonts w:hint="eastAsia" w:ascii="宋体" w:hAnsi="宋体" w:eastAsia="宋体" w:cs="宋体"/>
                <w:bCs/>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3.5.2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近年完成的类似项目情况的时间要求</w:t>
            </w:r>
          </w:p>
        </w:tc>
        <w:tc>
          <w:tcPr>
            <w:tcW w:w="6042" w:type="dxa"/>
            <w:noWrap w:val="0"/>
            <w:vAlign w:val="center"/>
          </w:tcPr>
          <w:p>
            <w:pPr>
              <w:spacing w:line="300" w:lineRule="exact"/>
              <w:jc w:val="left"/>
              <w:rPr>
                <w:rFonts w:hint="eastAsia" w:ascii="宋体" w:hAnsi="宋体" w:eastAsia="宋体" w:cs="宋体"/>
                <w:sz w:val="24"/>
                <w:szCs w:val="24"/>
              </w:rPr>
            </w:pPr>
            <w:r>
              <w:rPr>
                <w:rFonts w:hint="eastAsia" w:ascii="宋体" w:hAnsi="宋体" w:eastAsia="宋体" w:cs="宋体"/>
                <w:sz w:val="24"/>
                <w:szCs w:val="24"/>
              </w:rPr>
              <w:t>近 5 年：2017年1月1日至2022年1月1日，业绩证明材料需提供合同或中标通知书或委托人出具的业绩证明材料。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3.6.1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■不允许   □允许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3.7.3</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签字或盖章要求</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电子投标文件应逐页在投标文件加盖电子章，封面、投标函、授权委托书按要求加盖印章。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3.7.4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本项目采用电子化投标的方式</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本项目采用电子化投标的方式，相关操作流程详见全国公共资源交易平台（陕西省）网站(服务指南-下载专区)中的陕西省公共资源交易平台工程系统交通工程投标文件编制工具操作手册。系统操作咨询电话：029-88661298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3.7.5</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 xml:space="preserve">电子投标文件编制 </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要求</w:t>
            </w:r>
          </w:p>
          <w:p>
            <w:pPr>
              <w:spacing w:line="300" w:lineRule="exact"/>
              <w:jc w:val="center"/>
              <w:rPr>
                <w:rFonts w:hint="eastAsia" w:ascii="宋体" w:hAnsi="宋体" w:eastAsia="宋体" w:cs="宋体"/>
                <w:sz w:val="24"/>
                <w:szCs w:val="24"/>
              </w:rPr>
            </w:pP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本项目的招标文件和投标文件必须使用专用工具软件编制，并通过“陕西省公共资源交易平台”完成投标过程，投标人在投标文件的编制和递交，应按照招标文件的规定进行。如未按照招标文件要求编制、递交电子投标文件，将可能导致投标无效，其后果由投标人自负。</w:t>
            </w:r>
          </w:p>
          <w:p>
            <w:pPr>
              <w:spacing w:line="3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3.7.6</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电子投标注意事项</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投标人应及时下载招标文件和答疑纪要等相关文件，在投标截止时间前必须上传投标文件；投标人须使用数字认证证书（CA锁）对电子投标文件进行签章、加密、递交及开标时解密等相关招投标事宜(委托代理人无电子签名章可直接打字签名)。开标时需携带生成（加密）电子投标文件时使用的加密锁（CA锁），以便对上传的投标文件进行解密。如因投标单位自身原因未携带数字认证证书（CA 锁）造成无法解密投标文件，按无效投标对待。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5.1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开标时间和地点</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开标时间： 2022 年</w:t>
            </w:r>
            <w:r>
              <w:rPr>
                <w:rFonts w:hint="eastAsia" w:ascii="宋体" w:hAnsi="宋体" w:eastAsia="宋体" w:cs="宋体"/>
                <w:sz w:val="24"/>
                <w:szCs w:val="24"/>
                <w:u w:val="single"/>
                <w:lang w:val="en-US" w:eastAsia="zh-CN"/>
              </w:rPr>
              <w:t>9</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w:t>
            </w:r>
            <w:r>
              <w:rPr>
                <w:rFonts w:hint="eastAsia" w:ascii="宋体" w:hAnsi="宋体" w:eastAsia="宋体" w:cs="宋体"/>
                <w:sz w:val="24"/>
                <w:szCs w:val="24"/>
              </w:rPr>
              <w:t xml:space="preserve">日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9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时 00 分 </w:t>
            </w:r>
          </w:p>
          <w:p>
            <w:pPr>
              <w:spacing w:line="300" w:lineRule="exact"/>
              <w:rPr>
                <w:rFonts w:hint="eastAsia" w:ascii="宋体" w:hAnsi="宋体" w:eastAsia="宋体" w:cs="宋体"/>
                <w:sz w:val="24"/>
                <w:szCs w:val="24"/>
                <w:u w:val="single"/>
              </w:rPr>
            </w:pPr>
            <w:r>
              <w:rPr>
                <w:rFonts w:hint="eastAsia" w:ascii="宋体" w:hAnsi="宋体" w:eastAsia="宋体" w:cs="宋体"/>
                <w:sz w:val="24"/>
                <w:szCs w:val="24"/>
              </w:rPr>
              <w:t>开标地点： 安康市公共资源交易中心</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303</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6.1.1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6042"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评标委员会构成：</w:t>
            </w:r>
            <w:r>
              <w:rPr>
                <w:rFonts w:hint="eastAsia" w:ascii="宋体" w:hAnsi="宋体" w:eastAsia="宋体" w:cs="宋体"/>
                <w:sz w:val="24"/>
                <w:szCs w:val="24"/>
                <w:u w:val="single"/>
              </w:rPr>
              <w:t xml:space="preserve"> 5 </w:t>
            </w:r>
            <w:r>
              <w:rPr>
                <w:rFonts w:hint="eastAsia" w:ascii="宋体" w:hAnsi="宋体" w:eastAsia="宋体" w:cs="宋体"/>
                <w:sz w:val="24"/>
                <w:szCs w:val="24"/>
              </w:rPr>
              <w:t>人，其中招标人代表</w:t>
            </w:r>
            <w:r>
              <w:rPr>
                <w:rFonts w:hint="eastAsia" w:ascii="宋体" w:hAnsi="宋体" w:eastAsia="宋体" w:cs="宋体"/>
                <w:sz w:val="24"/>
                <w:szCs w:val="24"/>
                <w:u w:val="single"/>
              </w:rPr>
              <w:t xml:space="preserve"> 1 </w:t>
            </w:r>
            <w:r>
              <w:rPr>
                <w:rFonts w:hint="eastAsia" w:ascii="宋体" w:hAnsi="宋体" w:eastAsia="宋体" w:cs="宋体"/>
                <w:sz w:val="24"/>
                <w:szCs w:val="24"/>
              </w:rPr>
              <w:t>人，专家</w:t>
            </w:r>
            <w:r>
              <w:rPr>
                <w:rFonts w:hint="eastAsia" w:ascii="宋体" w:hAnsi="宋体" w:eastAsia="宋体" w:cs="宋体"/>
                <w:sz w:val="24"/>
                <w:szCs w:val="24"/>
                <w:u w:val="single"/>
              </w:rPr>
              <w:t xml:space="preserve"> 4 </w:t>
            </w:r>
            <w:r>
              <w:rPr>
                <w:rFonts w:hint="eastAsia" w:ascii="宋体" w:hAnsi="宋体" w:eastAsia="宋体" w:cs="宋体"/>
                <w:sz w:val="24"/>
                <w:szCs w:val="24"/>
              </w:rPr>
              <w:t xml:space="preserve">人； </w:t>
            </w:r>
          </w:p>
          <w:p>
            <w:pPr>
              <w:widowControl/>
              <w:jc w:val="left"/>
              <w:rPr>
                <w:rFonts w:hint="eastAsia" w:ascii="宋体" w:hAnsi="宋体" w:eastAsia="宋体" w:cs="宋体"/>
                <w:sz w:val="24"/>
                <w:szCs w:val="24"/>
              </w:rPr>
            </w:pPr>
            <w:r>
              <w:rPr>
                <w:rFonts w:hint="eastAsia" w:ascii="宋体" w:hAnsi="宋体" w:eastAsia="宋体" w:cs="宋体"/>
                <w:sz w:val="24"/>
                <w:szCs w:val="24"/>
              </w:rPr>
              <w:t>评标专家确定方式：陕西省综合评标专家库中随机抽取。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6.3.2</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评标委员会推荐中标候选人的人数</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中标候选人公示媒介及期限</w:t>
            </w:r>
          </w:p>
        </w:tc>
        <w:tc>
          <w:tcPr>
            <w:tcW w:w="6042" w:type="dxa"/>
            <w:noWrap w:val="0"/>
            <w:vAlign w:val="center"/>
          </w:tcPr>
          <w:p>
            <w:pPr>
              <w:spacing w:line="280" w:lineRule="exact"/>
              <w:rPr>
                <w:rFonts w:hint="eastAsia" w:ascii="宋体" w:hAnsi="宋体" w:eastAsia="宋体" w:cs="宋体"/>
                <w:sz w:val="24"/>
                <w:szCs w:val="24"/>
              </w:rPr>
            </w:pPr>
            <w:r>
              <w:rPr>
                <w:rFonts w:hint="eastAsia" w:ascii="宋体" w:hAnsi="宋体" w:eastAsia="宋体" w:cs="宋体"/>
                <w:sz w:val="24"/>
                <w:szCs w:val="24"/>
              </w:rPr>
              <w:t>公示媒介：同招标公告发布媒介；</w:t>
            </w:r>
          </w:p>
          <w:p>
            <w:pPr>
              <w:spacing w:line="280" w:lineRule="exact"/>
              <w:rPr>
                <w:rFonts w:hint="eastAsia" w:ascii="宋体" w:hAnsi="宋体" w:eastAsia="宋体" w:cs="宋体"/>
                <w:sz w:val="24"/>
                <w:szCs w:val="24"/>
              </w:rPr>
            </w:pPr>
            <w:r>
              <w:rPr>
                <w:rFonts w:hint="eastAsia" w:ascii="宋体" w:hAnsi="宋体" w:eastAsia="宋体" w:cs="宋体"/>
                <w:sz w:val="24"/>
                <w:szCs w:val="24"/>
              </w:rPr>
              <w:t>公示期限：不少于</w:t>
            </w:r>
            <w:r>
              <w:rPr>
                <w:rFonts w:hint="eastAsia" w:ascii="宋体" w:hAnsi="宋体" w:eastAsia="宋体" w:cs="宋体"/>
                <w:sz w:val="24"/>
                <w:szCs w:val="24"/>
                <w:u w:val="single"/>
              </w:rPr>
              <w:t xml:space="preserve"> 3 </w:t>
            </w:r>
            <w:r>
              <w:rPr>
                <w:rFonts w:hint="eastAsia" w:ascii="宋体" w:hAnsi="宋体" w:eastAsia="宋体" w:cs="宋体"/>
                <w:sz w:val="24"/>
                <w:szCs w:val="24"/>
              </w:rPr>
              <w:t>日；</w:t>
            </w:r>
          </w:p>
          <w:p>
            <w:pPr>
              <w:spacing w:line="280" w:lineRule="exact"/>
              <w:rPr>
                <w:rFonts w:hint="eastAsia" w:ascii="宋体" w:hAnsi="宋体" w:eastAsia="宋体" w:cs="宋体"/>
                <w:sz w:val="24"/>
                <w:szCs w:val="24"/>
              </w:rPr>
            </w:pPr>
            <w:r>
              <w:rPr>
                <w:rFonts w:hint="eastAsia" w:ascii="宋体" w:hAnsi="宋体" w:eastAsia="宋体" w:cs="宋体"/>
                <w:sz w:val="24"/>
                <w:szCs w:val="24"/>
              </w:rPr>
              <w:t>公示的其他内容：无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7.4</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是否授权评标委员会确定中标人</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7.5</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中标通知书和中标结果通知书发出的形式</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以书面形式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7.6</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中标结果公告媒介及期限</w:t>
            </w:r>
          </w:p>
        </w:tc>
        <w:tc>
          <w:tcPr>
            <w:tcW w:w="6042" w:type="dxa"/>
            <w:noWrap w:val="0"/>
            <w:vAlign w:val="center"/>
          </w:tcPr>
          <w:p>
            <w:pPr>
              <w:spacing w:line="280" w:lineRule="exact"/>
              <w:rPr>
                <w:rFonts w:hint="eastAsia" w:ascii="宋体" w:hAnsi="宋体" w:eastAsia="宋体" w:cs="宋体"/>
                <w:sz w:val="24"/>
                <w:szCs w:val="24"/>
              </w:rPr>
            </w:pPr>
            <w:r>
              <w:rPr>
                <w:rFonts w:hint="eastAsia" w:ascii="宋体" w:hAnsi="宋体" w:eastAsia="宋体" w:cs="宋体"/>
                <w:sz w:val="24"/>
                <w:szCs w:val="24"/>
              </w:rPr>
              <w:t xml:space="preserve">公告媒介：同发布招标公告媒介 </w:t>
            </w:r>
          </w:p>
          <w:p>
            <w:pPr>
              <w:spacing w:line="280" w:lineRule="exact"/>
              <w:rPr>
                <w:rFonts w:hint="eastAsia" w:ascii="宋体" w:hAnsi="宋体" w:eastAsia="宋体" w:cs="宋体"/>
                <w:sz w:val="24"/>
                <w:szCs w:val="24"/>
              </w:rPr>
            </w:pPr>
            <w:r>
              <w:rPr>
                <w:rFonts w:hint="eastAsia" w:ascii="宋体" w:hAnsi="宋体" w:eastAsia="宋体" w:cs="宋体"/>
                <w:sz w:val="24"/>
                <w:szCs w:val="24"/>
              </w:rPr>
              <w:t>公告期限：不少于 3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7.7.1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履约保证金</w:t>
            </w:r>
          </w:p>
        </w:tc>
        <w:tc>
          <w:tcPr>
            <w:tcW w:w="6042" w:type="dxa"/>
            <w:noWrap w:val="0"/>
            <w:vAlign w:val="center"/>
          </w:tcPr>
          <w:p>
            <w:pPr>
              <w:spacing w:line="280" w:lineRule="exact"/>
              <w:rPr>
                <w:rFonts w:hint="eastAsia" w:ascii="宋体" w:hAnsi="宋体" w:eastAsia="宋体" w:cs="宋体"/>
                <w:sz w:val="24"/>
                <w:szCs w:val="24"/>
              </w:rPr>
            </w:pPr>
            <w:r>
              <w:rPr>
                <w:rFonts w:hint="eastAsia" w:ascii="宋体" w:hAnsi="宋体" w:eastAsia="宋体" w:cs="宋体"/>
                <w:sz w:val="24"/>
                <w:szCs w:val="24"/>
              </w:rPr>
              <w:t xml:space="preserve">履约担保金额：10%签约合同价； </w:t>
            </w:r>
          </w:p>
          <w:p>
            <w:pPr>
              <w:spacing w:line="280" w:lineRule="exact"/>
              <w:rPr>
                <w:rFonts w:hint="eastAsia" w:ascii="宋体" w:hAnsi="宋体" w:eastAsia="宋体" w:cs="宋体"/>
                <w:sz w:val="24"/>
                <w:szCs w:val="24"/>
              </w:rPr>
            </w:pPr>
            <w:r>
              <w:rPr>
                <w:rFonts w:hint="eastAsia" w:ascii="宋体" w:hAnsi="宋体" w:eastAsia="宋体" w:cs="宋体"/>
                <w:sz w:val="24"/>
                <w:szCs w:val="24"/>
              </w:rPr>
              <w:t xml:space="preserve">履约担保形式：银行保函或现金； </w:t>
            </w:r>
          </w:p>
          <w:p>
            <w:pPr>
              <w:spacing w:line="280" w:lineRule="exact"/>
              <w:rPr>
                <w:rFonts w:hint="eastAsia" w:ascii="宋体" w:hAnsi="宋体" w:eastAsia="宋体" w:cs="宋体"/>
                <w:b/>
                <w:bCs/>
                <w:sz w:val="24"/>
                <w:szCs w:val="24"/>
              </w:rPr>
            </w:pPr>
            <w:r>
              <w:rPr>
                <w:rFonts w:hint="eastAsia" w:ascii="宋体" w:hAnsi="宋体" w:eastAsia="宋体" w:cs="宋体"/>
                <w:b/>
                <w:bCs/>
                <w:sz w:val="24"/>
                <w:szCs w:val="24"/>
              </w:rPr>
              <w:t xml:space="preserve">采用银行保函时，银行保函应由投标人基本账户开户银行出具（即出具银行保函的银行全称必须与投标人基本账户开户银行全称完全一致），如投标人基本账户开户银行不具备开具银行保函的资格，银行保函可由其上级银行开具。（其他担保公司及机构出具的保函无效） </w:t>
            </w:r>
          </w:p>
          <w:p>
            <w:pPr>
              <w:spacing w:line="280" w:lineRule="exact"/>
              <w:rPr>
                <w:rFonts w:hint="eastAsia" w:ascii="宋体" w:hAnsi="宋体" w:eastAsia="宋体" w:cs="宋体"/>
                <w:sz w:val="24"/>
                <w:szCs w:val="24"/>
              </w:rPr>
            </w:pPr>
            <w:r>
              <w:rPr>
                <w:rFonts w:hint="eastAsia" w:ascii="宋体" w:hAnsi="宋体" w:eastAsia="宋体" w:cs="宋体"/>
                <w:b/>
                <w:bCs/>
                <w:sz w:val="24"/>
                <w:szCs w:val="24"/>
              </w:rPr>
              <w:t>采用现金时由中标人单位基本账户汇入招标人账户。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8.5.1</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监督部门</w:t>
            </w:r>
          </w:p>
        </w:tc>
        <w:tc>
          <w:tcPr>
            <w:tcW w:w="6042" w:type="dxa"/>
            <w:noWrap w:val="0"/>
            <w:vAlign w:val="center"/>
          </w:tcPr>
          <w:p>
            <w:pPr>
              <w:pStyle w:val="19"/>
              <w:ind w:firstLine="0" w:firstLineChars="0"/>
              <w:rPr>
                <w:rFonts w:hint="eastAsia" w:ascii="宋体" w:hAnsi="宋体" w:eastAsia="宋体" w:cs="宋体"/>
                <w:sz w:val="24"/>
                <w:szCs w:val="24"/>
              </w:rPr>
            </w:pPr>
            <w:r>
              <w:rPr>
                <w:rFonts w:hint="eastAsia" w:ascii="宋体" w:hAnsi="宋体" w:eastAsia="宋体" w:cs="宋体"/>
                <w:sz w:val="24"/>
                <w:szCs w:val="24"/>
              </w:rPr>
              <w:t>安康市交通运输局</w:t>
            </w:r>
          </w:p>
          <w:p>
            <w:pPr>
              <w:pStyle w:val="19"/>
              <w:ind w:firstLine="0" w:firstLineChars="0"/>
              <w:rPr>
                <w:rFonts w:hint="eastAsia" w:ascii="宋体" w:hAnsi="宋体" w:eastAsia="宋体" w:cs="宋体"/>
                <w:sz w:val="24"/>
                <w:szCs w:val="24"/>
              </w:rPr>
            </w:pPr>
            <w:r>
              <w:rPr>
                <w:rFonts w:hint="eastAsia" w:ascii="宋体" w:hAnsi="宋体" w:eastAsia="宋体" w:cs="宋体"/>
                <w:sz w:val="24"/>
                <w:szCs w:val="24"/>
              </w:rPr>
              <w:t>地   址：安康市高新区安康大道28号</w:t>
            </w:r>
          </w:p>
          <w:p>
            <w:pPr>
              <w:spacing w:line="320" w:lineRule="exact"/>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color w:val="auto"/>
                <w:sz w:val="24"/>
                <w:szCs w:val="24"/>
              </w:rPr>
              <w:t>0915-3200279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是否采用电子招标投标</w:t>
            </w:r>
          </w:p>
        </w:tc>
        <w:tc>
          <w:tcPr>
            <w:tcW w:w="6042" w:type="dxa"/>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否   </w:t>
            </w:r>
            <w:r>
              <w:rPr>
                <w:rFonts w:hint="eastAsia" w:ascii="宋体" w:hAnsi="宋体" w:eastAsia="宋体" w:cs="宋体"/>
                <w:sz w:val="24"/>
                <w:szCs w:val="24"/>
              </w:rPr>
              <w:sym w:font="Wingdings 2" w:char="0052"/>
            </w:r>
            <w:r>
              <w:rPr>
                <w:rFonts w:hint="eastAsia" w:ascii="宋体" w:hAnsi="宋体" w:eastAsia="宋体" w:cs="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354" w:type="dxa"/>
            <w:gridSpan w:val="3"/>
            <w:noWrap w:val="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10.2</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增加</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串标及弄虚作假相关规定</w:t>
            </w:r>
          </w:p>
        </w:tc>
        <w:tc>
          <w:tcPr>
            <w:tcW w:w="6042" w:type="dxa"/>
            <w:noWrap w:val="0"/>
            <w:vAlign w:val="center"/>
          </w:tcPr>
          <w:p>
            <w:pPr>
              <w:spacing w:line="3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投标人相互串通投标，招标人与投标人串通投标，以其他方式弄虚作假的行为认定标准依据《中华人民共和国招标投标</w:t>
            </w:r>
            <w:r>
              <w:rPr>
                <w:rFonts w:hint="eastAsia" w:ascii="宋体" w:hAnsi="宋体" w:eastAsia="宋体" w:cs="宋体"/>
                <w:sz w:val="24"/>
                <w:szCs w:val="24"/>
                <w:lang w:eastAsia="zh-CN"/>
              </w:rPr>
              <w:t>法</w:t>
            </w:r>
            <w:r>
              <w:rPr>
                <w:rFonts w:hint="eastAsia" w:ascii="宋体" w:hAnsi="宋体" w:eastAsia="宋体" w:cs="宋体"/>
                <w:sz w:val="24"/>
                <w:szCs w:val="24"/>
              </w:rPr>
              <w:t>实施条例》（2011年12月20日，国务院令613号）中第三十九条至第四十二条有关规定认定。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10.3</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增加</w:t>
            </w:r>
          </w:p>
        </w:tc>
        <w:tc>
          <w:tcPr>
            <w:tcW w:w="228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重新招标</w:t>
            </w:r>
          </w:p>
        </w:tc>
        <w:tc>
          <w:tcPr>
            <w:tcW w:w="6042" w:type="dxa"/>
            <w:noWrap w:val="0"/>
            <w:vAlign w:val="center"/>
          </w:tcPr>
          <w:p>
            <w:pPr>
              <w:pStyle w:val="66"/>
              <w:tabs>
                <w:tab w:val="left" w:pos="540"/>
              </w:tabs>
              <w:spacing w:line="3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（1）若某一标段递交投标文件的投标人数量少于最低要求（3家）；</w:t>
            </w:r>
          </w:p>
          <w:p>
            <w:pPr>
              <w:pStyle w:val="66"/>
              <w:tabs>
                <w:tab w:val="left" w:pos="540"/>
              </w:tabs>
              <w:spacing w:line="3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（2）经评审的有效投标人</w:t>
            </w:r>
            <w:bookmarkStart w:id="70" w:name="_GoBack"/>
            <w:bookmarkEnd w:id="70"/>
            <w:r>
              <w:rPr>
                <w:rFonts w:hint="eastAsia" w:ascii="宋体" w:hAnsi="宋体" w:eastAsia="宋体" w:cs="宋体"/>
                <w:sz w:val="24"/>
                <w:szCs w:val="24"/>
              </w:rPr>
              <w:t>少于3个的；</w:t>
            </w:r>
          </w:p>
          <w:p>
            <w:pPr>
              <w:pStyle w:val="66"/>
              <w:tabs>
                <w:tab w:val="left" w:pos="540"/>
              </w:tabs>
              <w:spacing w:line="3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（3）中标候选人均未与招标人签订合同的；</w:t>
            </w:r>
          </w:p>
          <w:p>
            <w:pPr>
              <w:pStyle w:val="66"/>
              <w:tabs>
                <w:tab w:val="left" w:pos="540"/>
              </w:tabs>
              <w:spacing w:line="3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（4）法律规定的其他情形。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10.4</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增加</w:t>
            </w:r>
          </w:p>
        </w:tc>
        <w:tc>
          <w:tcPr>
            <w:tcW w:w="8323" w:type="dxa"/>
            <w:gridSpan w:val="2"/>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招标人和中标人应当自中标通知书发出之日起30 天内，根据招标文件和中标人的投标文件订立书面合同。</w:t>
            </w:r>
          </w:p>
          <w:p>
            <w:pPr>
              <w:widowControl/>
              <w:jc w:val="left"/>
              <w:rPr>
                <w:rFonts w:hint="eastAsia" w:ascii="宋体" w:hAnsi="宋体" w:eastAsia="宋体" w:cs="宋体"/>
                <w:sz w:val="24"/>
                <w:szCs w:val="24"/>
              </w:rPr>
            </w:pPr>
            <w:r>
              <w:rPr>
                <w:rFonts w:hint="eastAsia" w:ascii="宋体" w:hAnsi="宋体" w:eastAsia="宋体" w:cs="宋体"/>
                <w:sz w:val="24"/>
                <w:szCs w:val="24"/>
              </w:rPr>
              <w:t>中标人无正当理由拒签合同的，或在签订合同时向招标人提出附加条件，或不按照招标文件要求提交履约保证金的，招标人取消其中标资格，其投标保证金不予退还；给招标人造成的损失超过投标保证金数额的，中标人还应当对超过部分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jc w:val="center"/>
        </w:trPr>
        <w:tc>
          <w:tcPr>
            <w:tcW w:w="1031"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10.5</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增加</w:t>
            </w:r>
          </w:p>
        </w:tc>
        <w:tc>
          <w:tcPr>
            <w:tcW w:w="8323" w:type="dxa"/>
            <w:gridSpan w:val="2"/>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 xml:space="preserve">（1）本项目为电子招投标，各投标人应及时下载相关信息 ，并按时上传投标文件，投标人参加开标时需随身携带生成投标文件的数字证书认证锁（CA 锁）解密投标文件。 </w:t>
            </w:r>
          </w:p>
          <w:p>
            <w:pPr>
              <w:widowControl/>
              <w:jc w:val="left"/>
              <w:rPr>
                <w:rFonts w:hint="eastAsia" w:ascii="宋体" w:hAnsi="宋体" w:eastAsia="宋体" w:cs="宋体"/>
                <w:sz w:val="24"/>
                <w:szCs w:val="24"/>
              </w:rPr>
            </w:pPr>
            <w:r>
              <w:rPr>
                <w:rFonts w:hint="eastAsia" w:ascii="宋体" w:hAnsi="宋体" w:eastAsia="宋体" w:cs="宋体"/>
                <w:sz w:val="24"/>
                <w:szCs w:val="24"/>
              </w:rPr>
              <w:t xml:space="preserve">（2）投标人代表出席开标会： ① 如果是法定代表人出席开标会议须提供：法定代表人身份证明、法定代表人身份证原件和复印件 。 ② 如果是授权代理人出席开标会议须提供：法定代表人授权委托书原件、被授权人身份证原件和复印件。 </w:t>
            </w:r>
          </w:p>
          <w:p>
            <w:pPr>
              <w:widowControl/>
              <w:jc w:val="left"/>
              <w:rPr>
                <w:rFonts w:hint="eastAsia" w:ascii="宋体" w:hAnsi="宋体" w:eastAsia="宋体" w:cs="宋体"/>
                <w:sz w:val="24"/>
                <w:szCs w:val="24"/>
              </w:rPr>
            </w:pPr>
            <w:r>
              <w:rPr>
                <w:rFonts w:hint="eastAsia" w:ascii="宋体" w:hAnsi="宋体" w:eastAsia="宋体" w:cs="宋体"/>
                <w:sz w:val="24"/>
                <w:szCs w:val="24"/>
              </w:rPr>
              <w:t>上述①或②中一名投标代表参加；以上资料须手持拿至开标现场，由招标人核验其有效性（若投标人未按以上要求携带相关资料证件的，按身份核验不符不予通过处理，并将投标文件退回）。</w:t>
            </w:r>
          </w:p>
        </w:tc>
      </w:tr>
    </w:tbl>
    <w:p>
      <w:pPr>
        <w:adjustRightInd w:val="0"/>
        <w:snapToGrid w:val="0"/>
        <w:spacing w:line="300" w:lineRule="auto"/>
        <w:ind w:right="-781" w:rightChars="-244"/>
        <w:jc w:val="center"/>
        <w:rPr>
          <w:rFonts w:hint="eastAsia" w:ascii="新宋体" w:hAnsi="新宋体" w:eastAsia="新宋体" w:cs="新宋体"/>
          <w:b/>
          <w:bCs/>
          <w:sz w:val="28"/>
          <w:szCs w:val="28"/>
        </w:rPr>
      </w:pPr>
    </w:p>
    <w:p>
      <w:pPr>
        <w:adjustRightInd w:val="0"/>
        <w:snapToGrid w:val="0"/>
        <w:spacing w:line="300" w:lineRule="auto"/>
        <w:ind w:right="-781" w:rightChars="-244"/>
        <w:jc w:val="center"/>
        <w:rPr>
          <w:rFonts w:ascii="新宋体" w:hAnsi="新宋体" w:eastAsia="新宋体" w:cs="新宋体"/>
          <w:b/>
          <w:bCs/>
          <w:sz w:val="28"/>
          <w:szCs w:val="28"/>
        </w:rPr>
      </w:pPr>
      <w:bookmarkStart w:id="32" w:name="_Toc14588_WPSOffice_Level2"/>
      <w:bookmarkStart w:id="33" w:name="_Toc31980_WPSOffice_Level2"/>
      <w:bookmarkStart w:id="34" w:name="_Toc21701"/>
      <w:bookmarkStart w:id="35" w:name="_Toc30623_WPSOffice_Level2"/>
      <w:bookmarkStart w:id="36" w:name="_Toc234832870"/>
      <w:bookmarkStart w:id="37" w:name="_Toc509993817"/>
      <w:r>
        <w:rPr>
          <w:rFonts w:hint="eastAsia" w:ascii="新宋体" w:hAnsi="新宋体" w:eastAsia="新宋体" w:cs="新宋体"/>
          <w:b/>
          <w:bCs/>
          <w:sz w:val="28"/>
          <w:szCs w:val="28"/>
        </w:rPr>
        <w:t>投标人须知正文</w:t>
      </w:r>
      <w:bookmarkEnd w:id="32"/>
      <w:bookmarkEnd w:id="33"/>
      <w:bookmarkEnd w:id="34"/>
      <w:bookmarkEnd w:id="35"/>
    </w:p>
    <w:bookmarkEnd w:id="36"/>
    <w:bookmarkEnd w:id="37"/>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1．总则</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1.1 项目概况</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1.1.1 根据《中华人民共和国招标投标法》 《中华人民共和国招标投标法实施条例》《公路工程建设项目招标投标管理办法》等有关法律、法规和规章的规定，本招标项目</w:t>
      </w:r>
      <w:r>
        <w:rPr>
          <w:rFonts w:hint="eastAsia" w:ascii="宋体" w:hAnsi="宋体" w:eastAsia="宋体" w:cs="宋体"/>
          <w:sz w:val="24"/>
          <w:lang w:eastAsia="zh-CN"/>
        </w:rPr>
        <w:t>已</w:t>
      </w:r>
      <w:r>
        <w:rPr>
          <w:rFonts w:hint="eastAsia" w:ascii="宋体" w:hAnsi="宋体" w:eastAsia="宋体" w:cs="宋体"/>
          <w:sz w:val="24"/>
        </w:rPr>
        <w:t>具备招标条件，现对本标段施工监理进行招标。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 本招标项目招标人：见投标人须知前附表。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1.1.3 本标段招标代理机构：见投标人须知前附表。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1.1.4 本招标项目名称：见投标人须知前附表。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1.1.5 本标段建设地点：见投标人须知前附表。</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1.2 招标项目的资金来源和落实情况</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1.2.1 资金来源：见投标人须知前附表。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1.2.2 资金落实情况：见投标人须知前附表。</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1.3 招标范围、监理服务期限、质量要求和安全目标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1.3.1 招标范围：见投标人须知前附表。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1.3.2 本标段的监理服务期限：见投标人须知前附表。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1.3.3 本标段的质量要求：见投标人须知前附表。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1.3.4 本标段的安全目标：见投标人须知前附表。</w:t>
      </w:r>
    </w:p>
    <w:p>
      <w:pPr>
        <w:spacing w:line="500" w:lineRule="exact"/>
        <w:rPr>
          <w:rFonts w:hint="eastAsia" w:ascii="宋体" w:hAnsi="宋体" w:eastAsia="宋体" w:cs="宋体"/>
          <w:b/>
          <w:sz w:val="24"/>
        </w:rPr>
      </w:pPr>
      <w:r>
        <w:rPr>
          <w:rFonts w:hint="eastAsia" w:ascii="宋体" w:hAnsi="宋体" w:eastAsia="宋体" w:cs="宋体"/>
          <w:b/>
          <w:sz w:val="24"/>
        </w:rPr>
        <w:t>1.4 投标人资格要求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1.4.1投标人应具备承担本标段施工监理的资质条件、能力和信誉。</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（1）资质条件：见投标人须知前附表；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（2）业绩要求：见投标人须知前附表；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（3）信誉要求：见投标人须知前附表；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（4）总监理工程师或驻地监理工程师资格：见投标人须知前附表；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（5）其他要求：见投标人须知前附表。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需要提交的相关证明材料见本章第3.5款的规定。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1.4.2 投标人须知前附表规定接受联合体投标的，联合体除应符合本章第1.4.1项和投标人须知前附表的要求外，还应遵守以下规定：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（1）联合体各方应按招标文件提供的格式签订联合体协议书，明确联合体牵头人和各方权利义务，并承诺就中标项目向招标人承担连带责任；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（2）由同一专业的单位组成的联合体，按照资质等级较低的单位确定资质等级；</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（3）联合体各方不得再以自己名义单独或参加其他联合体在同一标段中投标；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（5）尽管委任了联合体牵头人，但联合体各成员在投标、签订合同与履行合同过程中，仍负有连带的和各自的法律责任。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1.4.3 投标人（包括联合体各成员）不得与本标段相关单位存在下列关联情形：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（1）为招标人不具有独立法人资格的附属机构（单位）；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（2）与招标人存在利害关系且可能影响招标公正性；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（3）与本标段的其他投标人同为一个单位负责人；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（4）与本标段的其他投标人存在控股、管理关系；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（5）为本标段前期准备提供设计或咨询服务的法人或其任何附属机构（单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位）；</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（6）为本标段的监理人；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（7）为本标段的代建人；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（8）为本标段的招标代理机构；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（9）与本标段的监理人或代建人或招标代理机构同为一个法定代表人；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（10）与本标段的监理人或代建人或招标代理机构存在控股或参股关系；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（11）法律法规或投标人须知前附表规定的其他情形。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1.4.4 投标人（包括联合体各成员）不得存在下列不良状况或不良信用记录：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（1）被省级及以上交通运输主管部门取消招标项目所在地的投标资格且处于有效期内；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（2）被责令停业，暂扣或吊销执照，或吊销资质证书；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（3）进入清算程序，或被宣告破产，或其他丧失履约能力的情形；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（4）在国家企业信用信息公示系统（http://gsxt.gov.cn/）中被列入严重违法失信企业名单；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（5）在“信用中国”网站（http://www.creditchina.gov.cn/）中被列入失信被执行人名单；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（6）投标人或其法定代表人、拟委任的总监理工程师或驻地监理工程师在近三年内有行贿犯罪行为的（行贿犯罪行为的认定以“中国裁判文书网”（http://wenshu.court.gov.cn/）查询结果为准）；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（7）法律法规或投标人须知前附表规定的其他情形。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1.4.5投标人（包括联合体各成员）应进入交通运输部“全国公路建设市场信用信息管理系统（http://glxy.mot.gov.cn）”中的公路工程施工监理资质企业名录，且投标人名称和资质与该名录中的相应企业名称和资质完全一致。投标人不满足本项规定条件的，将被否决投标。</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1.5 费用承担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投标人准备和参加投标活动发生的费用自理。</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1.6 保密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参与招标投标活动的各方应对招标文件和投标文件中的商业和技术等秘密保密，否则应承担相应的法律责任。</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1.7 语言文字</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招标投标文件使用的语言文字为中文。专用术语使用外文的，应附有中文注释。</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1.8 计量单位</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所有计量均采用中华人民共和国法定计量单位。</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1.9 踏勘现场</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1.9.2</w:t>
      </w:r>
      <w:r>
        <w:rPr>
          <w:rFonts w:hint="eastAsia" w:ascii="宋体" w:hAnsi="宋体" w:eastAsia="宋体" w:cs="宋体"/>
          <w:sz w:val="24"/>
        </w:rPr>
        <w:tab/>
      </w:r>
      <w:r>
        <w:rPr>
          <w:rFonts w:hint="eastAsia" w:ascii="宋体" w:hAnsi="宋体" w:eastAsia="宋体" w:cs="宋体"/>
          <w:sz w:val="24"/>
        </w:rPr>
        <w:t>投标人踏勘现场发生的费用自理。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1.9.3</w:t>
      </w:r>
      <w:r>
        <w:rPr>
          <w:rFonts w:hint="eastAsia" w:ascii="宋体" w:hAnsi="宋体" w:eastAsia="宋体" w:cs="宋体"/>
          <w:sz w:val="24"/>
        </w:rPr>
        <w:tab/>
      </w:r>
      <w:r>
        <w:rPr>
          <w:rFonts w:hint="eastAsia" w:ascii="宋体" w:hAnsi="宋体" w:eastAsia="宋体" w:cs="宋体"/>
          <w:sz w:val="24"/>
        </w:rPr>
        <w:t>除招标人的原因外，投标人自行负责在踏勘现场中所发生的人员伤亡和财产损失。</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1.9.4</w:t>
      </w:r>
      <w:r>
        <w:rPr>
          <w:rFonts w:hint="eastAsia" w:ascii="宋体" w:hAnsi="宋体" w:eastAsia="宋体" w:cs="宋体"/>
          <w:sz w:val="24"/>
        </w:rPr>
        <w:tab/>
      </w:r>
      <w:r>
        <w:rPr>
          <w:rFonts w:hint="eastAsia" w:ascii="宋体" w:hAnsi="宋体" w:eastAsia="宋体" w:cs="宋体"/>
          <w:sz w:val="24"/>
        </w:rPr>
        <w:t>招标人在踏勘现场中介绍的工程场地和相关的周边环境情况，供投标人在编制投标文件时参考，招标人不对投标人据此作出的判断和决策负责。</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1.10 投标预备会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1.10.1</w:t>
      </w:r>
      <w:r>
        <w:rPr>
          <w:rFonts w:hint="eastAsia" w:ascii="宋体" w:hAnsi="宋体" w:eastAsia="宋体" w:cs="宋体"/>
          <w:sz w:val="24"/>
        </w:rPr>
        <w:tab/>
      </w:r>
      <w:r>
        <w:rPr>
          <w:rFonts w:hint="eastAsia" w:ascii="宋体" w:hAnsi="宋体" w:eastAsia="宋体" w:cs="宋体"/>
          <w:sz w:val="24"/>
        </w:rPr>
        <w:t>第一章“招标公告”或“投标邀请书”规定召开投标预备会的，招标人按规定的时间和地点召开投标预备会，澄清投标人提出的问题。</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1.10.2</w:t>
      </w:r>
      <w:r>
        <w:rPr>
          <w:rFonts w:hint="eastAsia" w:ascii="宋体" w:hAnsi="宋体" w:eastAsia="宋体" w:cs="宋体"/>
          <w:sz w:val="24"/>
        </w:rPr>
        <w:tab/>
      </w:r>
      <w:r>
        <w:rPr>
          <w:rFonts w:hint="eastAsia" w:ascii="宋体" w:hAnsi="宋体" w:eastAsia="宋体" w:cs="宋体"/>
          <w:sz w:val="24"/>
        </w:rPr>
        <w:t>投标人应按投标人须知前附表规定的时间和形式将提出的问题送达招标人，以便招标人在会议期间澄清。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1.10.3</w:t>
      </w:r>
      <w:r>
        <w:rPr>
          <w:rFonts w:hint="eastAsia" w:ascii="宋体" w:hAnsi="宋体" w:eastAsia="宋体" w:cs="宋体"/>
          <w:sz w:val="24"/>
        </w:rPr>
        <w:tab/>
      </w:r>
      <w:r>
        <w:rPr>
          <w:rFonts w:hint="eastAsia" w:ascii="宋体" w:hAnsi="宋体" w:eastAsia="宋体" w:cs="宋体"/>
          <w:sz w:val="24"/>
        </w:rPr>
        <w:t>投标预备会后，招标人将对投标人所提问题的澄清，以本章第2.2款规定的形式通知所有购买招标文件的投标人。该澄清内容为招标文件的组成部分。</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1.11 分包</w:t>
      </w:r>
    </w:p>
    <w:p>
      <w:pPr>
        <w:pStyle w:val="7"/>
        <w:spacing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本项目严禁分包。</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1.12 响应和偏差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1.12.1 投标文件偏离招标文件某些要求，视为投标文件存在偏差。偏差包括重大偏差和细微偏差。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1.12.2 投标文件应对招标文件的实质性要求和条件作出满足性或更有利于招标人的响应，否则，视为投标文件存在重大偏差，投标人的投标将被否决。</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投标文件存在第三章“评标办法”中所列任一否决投标情形的，均属于存在重大偏差。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1.12.3 投标文件中的下列偏差为细微偏差：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（1）在按照第三章“评标办法”的规定对投标价进行算术性错误修正后，最终投标报价未超过最高投标限价（如有）的情况下，出现第三章“评标办法”规定的算术性错误；</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（2）技术建议书不够完善；</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（3）投标文件页码不连续、采用活页夹装订、个别文字有遗漏错误等不影响投标文件实质性内容的偏差。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1.12.4 评标委员会对投标文件中的细微偏差按如下规定处理：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（1）对于本章第1.12.3项（1）目所述的细微偏差，按照第三章“评标办法”的规定予以修正并要求投标人进行澄清；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（2）对于本章第1.12.3项（2）、（3）目所述的细微偏差，可在相关评分因素的评分中酌情扣分。</w:t>
      </w:r>
      <w:bookmarkStart w:id="38" w:name="_Toc237332746"/>
      <w:bookmarkStart w:id="39" w:name="_Toc184635072"/>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1.12.5 投标人应根据招标文件的要求提供技术建议书等内容以对招标文件作出响应。</w:t>
      </w:r>
    </w:p>
    <w:p>
      <w:pPr>
        <w:spacing w:line="500" w:lineRule="exact"/>
        <w:rPr>
          <w:rFonts w:hint="eastAsia" w:ascii="宋体" w:hAnsi="宋体" w:eastAsia="宋体" w:cs="宋体"/>
          <w:b/>
          <w:sz w:val="28"/>
          <w:szCs w:val="28"/>
        </w:rPr>
      </w:pPr>
      <w:r>
        <w:rPr>
          <w:rFonts w:hint="eastAsia" w:ascii="宋体" w:hAnsi="宋体" w:eastAsia="宋体" w:cs="宋体"/>
          <w:b/>
          <w:sz w:val="28"/>
          <w:szCs w:val="28"/>
        </w:rPr>
        <w:t>2．招标文件</w:t>
      </w:r>
      <w:bookmarkEnd w:id="38"/>
      <w:bookmarkEnd w:id="39"/>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2.1 招标文件的组成</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本招标文件包括：</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（1）招标公告；</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（2）投标人须知；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（3）评标办法；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（4）合同条款及格式；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（5）委托人要求；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（6）图纸和资料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（7）投标文件格式；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（8）投标人须知前附表规定的其他材料。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根据本章第1.10 款、第2.2 款和第2.3 款对招标文件所作的澄清、修改，构成招标文件的组成部分。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当招标文件、招标文件的澄清或修改等在同一内容的表述上不一致时，以最后发出的书面文件为准。</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2.2 招标文件的澄清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2.2.1 投标人应仔细阅读和检查招标文件的全部内容。如发现缺页或附件不全，应及时向招标人提出，以便补齐。如有疑问，应在投标人须知前附表规定的时间和形式将提出的问题送达招标人，要求招标人对招标文件予以澄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2.2.2 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2.2.3 投标人在收到澄清后，应在投标人须知前附表规定的时间和形式通知招标人，确认己收到该澄清。</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2.2.4 除非招标人认为确有必要答复，否则，招标人有权拒绝回复投标人在本章第2.2.1项规定的时间后提出的任何澄清要求。</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2.3 招标文件的修改</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2.3.1 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2.3.2 投标人收到修改内容后，应按投标人须知前附表规定的时间和形式通知招标人，确认己收到该修改。</w:t>
      </w:r>
    </w:p>
    <w:p>
      <w:pPr>
        <w:pStyle w:val="7"/>
        <w:spacing w:line="500" w:lineRule="exact"/>
        <w:rPr>
          <w:rFonts w:hint="eastAsia" w:ascii="宋体" w:hAnsi="宋体" w:eastAsia="宋体" w:cs="宋体"/>
          <w:sz w:val="24"/>
          <w:szCs w:val="24"/>
        </w:rPr>
      </w:pPr>
      <w:bookmarkStart w:id="40" w:name="_Toc184635073"/>
      <w:bookmarkStart w:id="41" w:name="_Toc237332747"/>
      <w:r>
        <w:rPr>
          <w:rFonts w:hint="eastAsia" w:ascii="宋体" w:hAnsi="宋体" w:eastAsia="宋体" w:cs="宋体"/>
          <w:sz w:val="24"/>
          <w:szCs w:val="24"/>
        </w:rPr>
        <w:t>2.4 对招标文件的异议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投标人或其他利害关系人对招标文件有异议的，应在投标截止时间10日前以书面形式提出。招标人将在收到异议之日起3日内作出答复；作出答复前，将暂停招标投标活动。</w:t>
      </w:r>
    </w:p>
    <w:p>
      <w:pPr>
        <w:pStyle w:val="6"/>
        <w:spacing w:line="500" w:lineRule="exact"/>
        <w:rPr>
          <w:rFonts w:hint="eastAsia" w:ascii="宋体" w:hAnsi="宋体" w:eastAsia="宋体" w:cs="宋体"/>
          <w:sz w:val="28"/>
          <w:szCs w:val="28"/>
        </w:rPr>
      </w:pPr>
      <w:r>
        <w:rPr>
          <w:rFonts w:hint="eastAsia" w:ascii="宋体" w:hAnsi="宋体" w:eastAsia="宋体" w:cs="宋体"/>
          <w:sz w:val="28"/>
          <w:szCs w:val="28"/>
        </w:rPr>
        <w:t>3．投标文件</w:t>
      </w:r>
      <w:bookmarkEnd w:id="40"/>
      <w:bookmarkEnd w:id="41"/>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3.1 投标文件的组成</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3.1.1 投标文件应采用双信封形式，包括下列内容：</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第一个信封（商务及技术文件）：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（1）投标函；</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（2）授权委托书或法定代表人身份证明；</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（3）联合体协议书；</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（4）投标保证金；</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（5）资格审查资料；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（6）技术建议书</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（7）投标人须知前附表规定的其他材料；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第二个信封（报价文件）：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（1）投标函；</w:t>
      </w:r>
      <w:r>
        <w:rPr>
          <w:rFonts w:hint="eastAsia" w:ascii="宋体" w:hAnsi="宋体" w:eastAsia="宋体" w:cs="宋体"/>
          <w:sz w:val="24"/>
        </w:rPr>
        <w:tab/>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（2）监理服务费用清单。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投标人在评标过程中作出的符合法律法规和招标文件规定的澄清确认，构成投标文件的组成部分。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3.1.2 投标人须知前附表规定不接受联合体投标的，或投标人没有组成联合体的，投标文件不包括本章第 3.1.1（3）目所指的联合体协议书。</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3.1.3 投标人须知前附表未要求提交投标保证金的，投标文件不包括本章第 3.1.1（4）目所指的投标保证金。</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3.2 投标报价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3.2.1 投标报价应包括国家规定的增值税税金，除投标人须知前附表另有规定外，增值税税金按一般计税方法计算。投标人应按第七章“投标文件格式”的要求在投标函中进行报价并填写监理服务费用清单相应表格。</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3.2.2 投标人应充分了解本项目的总体情况以及影响投标报价的其他要素，按照招标文件规定的施工监理工作内容和计划工作量，自行测算施工监理服务费用。投标报价应涵盖投标人完成施工准备阶段、施工阶段、验收与缺陷责任期阶段监理工作所需的全部费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投标人应按照“投标文件格式”中“监理服务费用清单”的要求填报监理服务费。投标人未填报的部分，在工程实施时委托人将不予支付，并认为该部分费用已包含在报价中。</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3.2.3 本项目的报价方式见投标人须知前附表。投标人在投标截止时间前修改投标函中的投标报价总额，应同时修改投标文件“监理服务费用清单”中的相应报价。此修改须符合本章第4.3款的有关要求。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3.2.4 招标人设有最高投标限价的，投标人的投标报价不得超过最高投标限价，最高投标限价在投标人须知前附表中载明。</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3.2.5 投标报价的其他要求见投标人须知前附表。</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3.3 投标有效期</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3.3.1 除投标人须知前附表另有规定外，投标有效期为90日。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3.3.2 在投标有效期内，投标人撤销投标文件的，应承担招标文件和法律规定的责任。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3.4 投标保证金</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3.4.1 投标人在递交投标文件的同时，应按投标人须知前附表规定的金额和第七章“投标文件格式”规定的投标保证金格式递交投标保证金，并作为其投标文件的组成部分。联合体投标的，其投标保证金由牵头人递交，并应符合投标人须知前附表的规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投标保证金应采用现金、支票、银行保函或招标人在投标人须知前附表规定的其他形式。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（1）若采用现金或支票，投标人应在递交投标文件截止时间之前，将投标保证金由投标人的基本账户转入招标人指定账户，否则视为投标保证金无效。招标人指定的开户银行及账号见投标人须知前附表。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无论采取何种形式的投标保证金，投标保证金有效期均应与投标有效期一致。招标人如果按本章第3.3.3项的规定延长了投标有效期，则投标保证金的有效期也相应延长。</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3.4.2 投标人不按本章第3.4.1 项要求提交投标保证金的，评标委员会将否决其投标。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3.4.3 招标人最迟将在中标通知书发出后5日内向中标候选人以外的其他投标人退还投标保证金，与中标人签订书面合同后5日内向中标人和其他中标候选人退还投标保证金。投标保证金以现金或支票形式递交的，招标人应同时退还投标保证金的银行同期活期存款利息，且退还至投标人的基本账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利息计算原则见投标人须知前附表。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3.4.4 有下列情形之一的，投标保证金将不予退还：</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（1）投标人在投标有效期内撤销投标文件；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（2）中标人在收到中标通知书后，无正当理由不与招标人订立合同，在签订合同时向招标人提出附加条件，或不按照招标文件要求提交履约保证金；</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（3）发生投标人须知前附表规定的其他可以不予退还投标保证金的情形。</w:t>
      </w:r>
    </w:p>
    <w:p>
      <w:pPr>
        <w:spacing w:line="500" w:lineRule="exact"/>
        <w:rPr>
          <w:rFonts w:hint="eastAsia" w:ascii="宋体" w:hAnsi="宋体" w:eastAsia="宋体" w:cs="宋体"/>
          <w:b/>
          <w:sz w:val="24"/>
        </w:rPr>
      </w:pPr>
      <w:r>
        <w:rPr>
          <w:rFonts w:hint="eastAsia" w:ascii="宋体" w:hAnsi="宋体" w:eastAsia="宋体" w:cs="宋体"/>
          <w:b/>
          <w:sz w:val="24"/>
        </w:rPr>
        <w:t>3.5 资格审查资料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除投标人须知前附表另有规定外，投标人应按下列规定提供资格审查资料，以证明其满足本章第1.4款规定的资质、业绩、信誉等要求。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3.5.1 “投标人基本情况表”应附企业法人营业执照副本和组织机构代码证副本（按照“三证合一”或“五证合一”登记制度进行登记的，可仅提供营业执照副本，下同）、监理资质证书副本、基本账户开户许可证的复印件，投标人在交通运输部“全国公路建设市场信用信息管理系统”公路工程施工监理资质企业名录中的网页截图复印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企业法人营业执照副本和组织机构代码证副本、监理资质证书副本、基本账户开户许可证的复印件应提供全本（证书封面、封底、空白页除外），应包括投标人名称、投标人其他相关信息、颁发机构名称、投标人信息变更情况等关键页在内，并逐页加盖投标人单位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3.5.2 “近年完成的类似项目”应是已列入交通运输主管部门“公路建设市场信用信息管理系统”并公开的业绩，具体时间要求见投标人须知前附表。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近年完成的类似项目情况表”应附在交通运输部“全国公路建设市场信用信息管理系统”（网址：http://glxy.mot.gov.cn）中查询到的企业相关项目。在交通运输部“全国公路建设市场信用信息管理系统”中无法查询，但可在省级交通运输主管部门“公路建设市场信用信息管理系统”中查询的，应附省级交通运输主管部门“公路建设市场信用信息管理系统”中查询到的相关“业绩信息”。如所承担的项目均无法在以上两个系统内查询，亦可提供合同或中标通知书或委托人出具的业绩证明材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3.5.3“投标人的信誉情况表”应附投标人在国家企业信用信息公示系统中未被列入严重违法失信企业名单、在“信用中国”网站中未被列入失信被执行人名单的网页截图复印件以及《中国裁判文书网 http://wenshu.court.gov.cn》近三年内投标人及其法定代表人、拟委任的总监理工程师或驻地监理工程师均无行贿犯罪行为的查询截图。</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3.5.4“拟委任的总监理工程师或驻地监理工程师资历表”应附总监理工程师或驻地监理工程师的身份证、职称资格证书和资格审查条件所要求的其他相关证书（如公路工程监理工程师证书等）的复印件。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如总监理工程师或驻地监理工程师目前仍在其他项目上任职，则投标人应提供由该项目委托人出具的、承诺上述人员能够从该项目撤离的书面证明材料原件。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3.5.5“拟委任的其他主要监理人员汇总表”（如有）应填报满足投标人须知前附表附录 5 规定的其他主要监理人员的相关信息。“拟委任的其他主要监理人员资历表”（如有）中相关人员应附身份证、职称资格证书和资格审查条件所要求的其他相关证书（如公路工程监理工程师证书等）的复印件。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3.5.6 投标人须知前附表规定接受联合体投标的，本章第3.5.1项至第3.5.5项规定的表格和资料应包括联合体各方相关情况。</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3.5.7 除合同条款约定的特殊情形外，投标人在投标文件中填报的总监理工程师或驻地监理工程师不允许更换。</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3.5.8 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3.5.9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中扣除不超过5%签约合同价的金额作为违约金。同时招标人将投标人上述弄虚作假行为上报省级交通运输主管部门，作为不良记录纳入公路建设市场信用信息管理系统。</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3.6 备选投标方案</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3.6.1除投标人须知前附表规定允许外，投标人不得递交备选投标方案，否则其投标将被否决。</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3.6.2 允许投标人递交备选投标方案的，只有中标人所递交的备选投标方案可予以考虑。评标委员会认为中标人的备选投标方案优于其按照招标文件要求编制的投标方案的，招标人可以接受该备选投标方案。</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3.6.3 投标人提供两个或两个以上投标报价，或在投标文件中提供一个报价，但同时提供两个或两个以上技术建议书的，视为提供备选方案。</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3.7 投标文件的编制</w:t>
      </w:r>
    </w:p>
    <w:p>
      <w:pPr>
        <w:spacing w:line="500" w:lineRule="exact"/>
        <w:ind w:firstLine="480" w:firstLineChars="200"/>
        <w:rPr>
          <w:rFonts w:hint="eastAsia" w:ascii="宋体" w:hAnsi="宋体" w:eastAsia="宋体" w:cs="宋体"/>
          <w:sz w:val="24"/>
        </w:rPr>
      </w:pPr>
      <w:bookmarkStart w:id="42" w:name="_Toc184635074"/>
      <w:bookmarkStart w:id="43" w:name="_Toc237332748"/>
      <w:r>
        <w:rPr>
          <w:rFonts w:hint="eastAsia" w:ascii="宋体" w:hAnsi="宋体" w:eastAsia="宋体" w:cs="宋体"/>
          <w:sz w:val="24"/>
        </w:rPr>
        <w:t xml:space="preserve">3.7.1 投标文件应按第七章“投标文件格式”进行编写，如有必要，可以增加附页，作为投标文件的组成部分。其中，投标函附录在满足招标文件实质性要求的基础上，可以提出比招标文件要求更有利于招标人的承诺。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3.7.2 投标文件应对招标文件有关工期、投标有效期、质量要求、安全目标、技术标准和要求、招标范围等实质性内容作出响应。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3.7.3 电子投标文件应逐页在投标文件加盖电子章，封面、投标函、授权委托书按要求加盖印章。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3.7.4</w:t>
      </w:r>
      <w:r>
        <w:rPr>
          <w:rFonts w:hint="eastAsia" w:ascii="宋体" w:hAnsi="宋体" w:eastAsia="宋体" w:cs="宋体"/>
          <w:szCs w:val="21"/>
        </w:rPr>
        <w:t>本项目采用电子化投标的方式，相关操作流程详见全国公共资源交易平台（陕西省）网站(服务指南-下载专区)中的陕西省公共资源交易平台工程系统交通工程投标文件编制工具操作手册。系统操作咨询电话：029-88661298</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3.7.5本项目的招标文件和投标文件必须使用专用工具软件编制，并通过“陕西省公共资源交易平台”完成投标过程，投标人在投标文件的编制和递交，应按照招标文件的规定进行。如未按照招标文件要求编制、递交电子投标文件，将可能导致投标无效，其后果由投标人自负。</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3.7.6投标人应及时下载招标文件和答疑纪要等相关文件，在投标截止时间前必须上传投标文件；投标人须使用数字认证证书（CA锁）对电子投标文件进行签章、加密、递交及开标时解密等相关招投标事宜(委托代理人无电子签名章可直接打字签名)。开标时需携带生成（加密）电子投标文件时使用的加密锁（CA锁），以便对上传的投标文件进行解密。如因投标单位自身原因未携带数字认证证书（CA 锁）造成无法解密投标文件，按无效投标对待。 </w:t>
      </w:r>
    </w:p>
    <w:p>
      <w:pPr>
        <w:pStyle w:val="6"/>
        <w:spacing w:line="500" w:lineRule="exact"/>
        <w:rPr>
          <w:rFonts w:hint="eastAsia" w:ascii="宋体" w:hAnsi="宋体" w:eastAsia="宋体" w:cs="宋体"/>
          <w:sz w:val="28"/>
          <w:szCs w:val="28"/>
        </w:rPr>
      </w:pPr>
      <w:r>
        <w:rPr>
          <w:rFonts w:hint="eastAsia" w:ascii="宋体" w:hAnsi="宋体" w:eastAsia="宋体" w:cs="宋体"/>
          <w:sz w:val="28"/>
          <w:szCs w:val="28"/>
        </w:rPr>
        <w:t>4．投标</w:t>
      </w:r>
      <w:bookmarkEnd w:id="42"/>
      <w:bookmarkEnd w:id="43"/>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4.1 投标文件的密封和标记</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4.1.1 本次招标采用双信封形式，投标文件第一个信封（商务及技术文件）；投标文件第二个信封（报价文件）。 </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采用银行保函形式提交投标保证金的，银行保函原件应密封在单独的封套中。</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4.2 投标文件的递交</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4.2.1 投标人应在第一章“招标公告”或“投标邀请书”规定的投标截止时间前递交投标文件。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4.2.2 投标人递交投标文件的地点：见第一章“招标公告”或“投标邀请书”。</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4.2.3 除投标人须知前附表另有规定外，投标人所递交的投标文件不予退还。</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4.2.4 招标人收到投标文件后，向投标人出具签收凭证。</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4.2.5 逾期送达的或未送达指定地点的投标文件，招标人将予以拒收。</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4.3 投标文件的修改与撤回</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4.3.1 在本章第4.2.1 项规定的投标截止时间前，投标人可以修改或撤回已递交的投标文件，但应以书面形式通知招标人。</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4.3.2 投标人修改或撤回已递交投标文件的书面通知应按照本章第3.7.3 项的要求签字或盖章。招标人收到书面通知后，向投标人出具签收凭证。</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4.3.3 投标人撤回投标文件的，招标人自收到投标人书面撤回通知之日起5日内退还已收取的投标保证金。</w:t>
      </w:r>
    </w:p>
    <w:p>
      <w:pPr>
        <w:pStyle w:val="6"/>
        <w:spacing w:line="500" w:lineRule="exact"/>
        <w:rPr>
          <w:rFonts w:hint="eastAsia" w:ascii="宋体" w:hAnsi="宋体" w:eastAsia="宋体" w:cs="宋体"/>
          <w:sz w:val="28"/>
          <w:szCs w:val="28"/>
        </w:rPr>
      </w:pPr>
      <w:bookmarkStart w:id="44" w:name="_Toc184635075"/>
      <w:bookmarkStart w:id="45" w:name="_Toc237332749"/>
      <w:r>
        <w:rPr>
          <w:rFonts w:hint="eastAsia" w:ascii="宋体" w:hAnsi="宋体" w:eastAsia="宋体" w:cs="宋体"/>
          <w:sz w:val="28"/>
          <w:szCs w:val="28"/>
        </w:rPr>
        <w:t>5．开标</w:t>
      </w:r>
      <w:bookmarkEnd w:id="44"/>
      <w:bookmarkEnd w:id="45"/>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5.1 开标时间和地点</w:t>
      </w:r>
    </w:p>
    <w:p>
      <w:pPr>
        <w:spacing w:line="500" w:lineRule="exact"/>
        <w:ind w:firstLine="435"/>
        <w:rPr>
          <w:rFonts w:hint="eastAsia" w:ascii="宋体" w:hAnsi="宋体" w:eastAsia="宋体" w:cs="宋体"/>
          <w:szCs w:val="21"/>
        </w:rPr>
      </w:pPr>
      <w:r>
        <w:rPr>
          <w:rFonts w:hint="eastAsia" w:ascii="宋体" w:hAnsi="宋体" w:eastAsia="宋体" w:cs="宋体"/>
          <w:sz w:val="24"/>
        </w:rPr>
        <w:t>招标人在本章第4.2.1项规定的投标截止时间（开标时间）和投标人须知前附表规定的地点对收到的投标文件第一个信封（商务及技术文件）公开开标，并邀请所有投标人的法定代表人或其委托代理人准时参加。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招标人在投标人须知前附表规定的时间和地点对投标文件第二个信封（报价文件）公开开标，并邀请所有投标人的法定代表人或其委托代理人准时参加。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投标人若未派法定代表人或委托代理人出席开标活动，视为该投标人默认开标结果。</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若采用单信封形式，第 5.1 款采用以下条款：</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5.2 开标程序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5.2.1 主持人按下列程序对投标文件第一个信封（商务及技术文件）进行开标：</w:t>
      </w:r>
    </w:p>
    <w:p>
      <w:pPr>
        <w:spacing w:line="500" w:lineRule="exact"/>
        <w:rPr>
          <w:rFonts w:hint="eastAsia" w:ascii="宋体" w:hAnsi="宋体" w:eastAsia="宋体" w:cs="宋体"/>
          <w:sz w:val="24"/>
        </w:rPr>
      </w:pPr>
      <w:r>
        <w:rPr>
          <w:rFonts w:hint="eastAsia" w:ascii="宋体" w:hAnsi="宋体" w:eastAsia="宋体" w:cs="宋体"/>
          <w:sz w:val="24"/>
        </w:rPr>
        <w:t xml:space="preserve">    （l）宣布开标纪律；</w:t>
      </w:r>
    </w:p>
    <w:p>
      <w:pPr>
        <w:spacing w:line="500" w:lineRule="exact"/>
        <w:rPr>
          <w:rFonts w:hint="eastAsia" w:ascii="宋体" w:hAnsi="宋体" w:eastAsia="宋体" w:cs="宋体"/>
          <w:sz w:val="24"/>
        </w:rPr>
      </w:pPr>
      <w:r>
        <w:rPr>
          <w:rFonts w:hint="eastAsia" w:ascii="宋体" w:hAnsi="宋体" w:eastAsia="宋体" w:cs="宋体"/>
          <w:sz w:val="24"/>
        </w:rPr>
        <w:t xml:space="preserve">    （2）公布在投标截止时间前递交投标文件的投标人数量；</w:t>
      </w:r>
    </w:p>
    <w:p>
      <w:pPr>
        <w:spacing w:line="500" w:lineRule="exact"/>
        <w:rPr>
          <w:rFonts w:hint="eastAsia" w:ascii="宋体" w:hAnsi="宋体" w:eastAsia="宋体" w:cs="宋体"/>
          <w:sz w:val="24"/>
        </w:rPr>
      </w:pPr>
      <w:r>
        <w:rPr>
          <w:rFonts w:hint="eastAsia" w:ascii="宋体" w:hAnsi="宋体" w:eastAsia="宋体" w:cs="宋体"/>
          <w:sz w:val="24"/>
        </w:rPr>
        <w:t xml:space="preserve">    （3）宣布开标人、唱标人、记录人等有关人员姓名；</w:t>
      </w:r>
    </w:p>
    <w:p>
      <w:pPr>
        <w:spacing w:line="500" w:lineRule="exact"/>
        <w:ind w:firstLine="480"/>
        <w:rPr>
          <w:rFonts w:hint="eastAsia" w:ascii="宋体" w:hAnsi="宋体" w:eastAsia="宋体" w:cs="宋体"/>
          <w:sz w:val="24"/>
        </w:rPr>
      </w:pPr>
      <w:r>
        <w:rPr>
          <w:rFonts w:hint="eastAsia" w:ascii="宋体" w:hAnsi="宋体" w:eastAsia="宋体" w:cs="宋体"/>
          <w:sz w:val="24"/>
        </w:rPr>
        <w:t>（4）按照投标人须知前附表规定的开标顺序当众开标，公布标段名称、投标人名称、投标保证金的递交情况、监理服务期限及其他内容，并记录在案；</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（5）投标人代表、招标人代表、记录人等有关人员在开标记录上签字确认；</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（6）开标结束。</w:t>
      </w:r>
      <w:bookmarkStart w:id="46" w:name="_Toc184635076"/>
      <w:bookmarkStart w:id="47" w:name="_Toc237332750"/>
    </w:p>
    <w:p>
      <w:pPr>
        <w:spacing w:line="500" w:lineRule="exact"/>
        <w:rPr>
          <w:rFonts w:hint="eastAsia" w:ascii="宋体" w:hAnsi="宋体" w:eastAsia="宋体" w:cs="宋体"/>
          <w:b/>
          <w:sz w:val="24"/>
        </w:rPr>
      </w:pPr>
      <w:r>
        <w:rPr>
          <w:rFonts w:hint="eastAsia" w:ascii="宋体" w:hAnsi="宋体" w:eastAsia="宋体" w:cs="宋体"/>
          <w:b/>
          <w:sz w:val="24"/>
        </w:rPr>
        <w:t>5.3 开标异议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投标人对开标有异议的，应在开标现场提出，招标人当场作出答复，并制作记录，有异议的投标人代表、招标人代表、记录人等有关人员在记录上签字确认。</w:t>
      </w:r>
    </w:p>
    <w:p>
      <w:pPr>
        <w:pStyle w:val="6"/>
        <w:spacing w:line="500" w:lineRule="exact"/>
        <w:rPr>
          <w:rFonts w:hint="eastAsia" w:ascii="宋体" w:hAnsi="宋体" w:eastAsia="宋体" w:cs="宋体"/>
          <w:sz w:val="28"/>
          <w:szCs w:val="28"/>
        </w:rPr>
      </w:pPr>
      <w:r>
        <w:rPr>
          <w:rFonts w:hint="eastAsia" w:ascii="宋体" w:hAnsi="宋体" w:eastAsia="宋体" w:cs="宋体"/>
          <w:sz w:val="28"/>
          <w:szCs w:val="28"/>
        </w:rPr>
        <w:t>6．评标</w:t>
      </w:r>
      <w:bookmarkEnd w:id="46"/>
      <w:bookmarkEnd w:id="47"/>
    </w:p>
    <w:p>
      <w:pPr>
        <w:spacing w:line="500" w:lineRule="exact"/>
        <w:rPr>
          <w:rFonts w:hint="eastAsia" w:ascii="宋体" w:hAnsi="宋体" w:eastAsia="宋体" w:cs="宋体"/>
          <w:b/>
          <w:sz w:val="24"/>
        </w:rPr>
      </w:pPr>
      <w:r>
        <w:rPr>
          <w:rFonts w:hint="eastAsia" w:ascii="宋体" w:hAnsi="宋体" w:eastAsia="宋体" w:cs="宋体"/>
          <w:b/>
          <w:sz w:val="24"/>
        </w:rPr>
        <w:t>6.1 评标委员会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6.1.2 评标委员会成员有下列情形之一的，应主动提出回避：</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（1）为负责招标项目监督管理的交通运输主管部门的工作人员；</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（2）与投标人法定代表人或其委托代理人有近亲属关系；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（3）为投标人的工作人员或退休人员；</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（4）与投标人有其他利害关系，可能影响评标活动公正性；</w:t>
      </w:r>
    </w:p>
    <w:p>
      <w:pPr>
        <w:spacing w:line="500" w:lineRule="exact"/>
        <w:ind w:firstLine="464" w:firstLineChars="200"/>
        <w:rPr>
          <w:rFonts w:hint="eastAsia" w:ascii="宋体" w:hAnsi="宋体" w:eastAsia="宋体" w:cs="宋体"/>
          <w:spacing w:val="-4"/>
          <w:sz w:val="24"/>
        </w:rPr>
      </w:pPr>
      <w:r>
        <w:rPr>
          <w:rFonts w:hint="eastAsia" w:ascii="宋体" w:hAnsi="宋体" w:eastAsia="宋体" w:cs="宋体"/>
          <w:spacing w:val="-4"/>
          <w:sz w:val="24"/>
        </w:rPr>
        <w:t>（5）在与招标投标有关的活动中有过违法违规行为、曾受过行政处罚或刑事处罚。</w:t>
      </w:r>
    </w:p>
    <w:p>
      <w:pPr>
        <w:spacing w:line="500" w:lineRule="exact"/>
        <w:ind w:firstLine="464" w:firstLineChars="200"/>
        <w:rPr>
          <w:rFonts w:hint="eastAsia" w:ascii="宋体" w:hAnsi="宋体" w:eastAsia="宋体" w:cs="宋体"/>
          <w:spacing w:val="-4"/>
          <w:sz w:val="24"/>
        </w:rPr>
      </w:pPr>
      <w:r>
        <w:rPr>
          <w:rFonts w:hint="eastAsia" w:ascii="宋体" w:hAnsi="宋体" w:eastAsia="宋体" w:cs="宋体"/>
          <w:spacing w:val="-4"/>
          <w:sz w:val="24"/>
        </w:rPr>
        <w:t>6.1.3 评标过程中，评标委员会成员有回避事由、擅离职守或因健康等原因不能继续评标的，招标人有权更换。被更换的评标委员会成员作出的评审结论无效，由更换后的评标委员会成员重新进行评审。</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6.2 评标原则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评标活动遵循公平、公正、科学和择优的原则。</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6.3 评标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6.3.1 评标委员会按照第三章“评标办法”规定的方法、评审因素、标准和程序对投标文件进行评审。第三章“评标办法”没有规定的方法、评审因素和标准，不作为评标依据。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6.3.2 评标完成后，评标委员会应向招标人提交书面评标报告和中标候选人名单。评标委员会推荐中标候选人的人数见投标人须知前附表。</w:t>
      </w:r>
    </w:p>
    <w:p>
      <w:pPr>
        <w:pStyle w:val="6"/>
        <w:spacing w:line="500" w:lineRule="exact"/>
        <w:rPr>
          <w:rFonts w:hint="eastAsia" w:ascii="宋体" w:hAnsi="宋体" w:eastAsia="宋体" w:cs="宋体"/>
          <w:sz w:val="28"/>
          <w:szCs w:val="28"/>
        </w:rPr>
      </w:pPr>
      <w:bookmarkStart w:id="48" w:name="_Toc184635077"/>
      <w:bookmarkStart w:id="49" w:name="_Toc237332751"/>
      <w:r>
        <w:rPr>
          <w:rFonts w:hint="eastAsia" w:ascii="宋体" w:hAnsi="宋体" w:eastAsia="宋体" w:cs="宋体"/>
          <w:sz w:val="28"/>
          <w:szCs w:val="28"/>
        </w:rPr>
        <w:t>7．合同授予</w:t>
      </w:r>
      <w:bookmarkEnd w:id="48"/>
      <w:bookmarkEnd w:id="49"/>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7.1 中标候选人公示</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招标人在收到评标报告之日起3日内，按照投标人须知前附表规定的公示媒介和期限公示中标候选人，公示期不得少于3日，公示内容包括：</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1.中标候选人排序、名称、投标报价，对监理质量要求、安全目标和监理服务期限的响应情况；</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2.中标候选人在投标文件中承诺的总监理工程师或驻地监理工程师的姓名、个人业绩、相关证书名称和编号；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3.中标候选人在投标文件中填报的项目业绩；</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4.被否决投标的投标人名称、否决依据和原因；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5.提出异议的渠道和方式；</w:t>
      </w:r>
    </w:p>
    <w:p>
      <w:pPr>
        <w:spacing w:line="500" w:lineRule="exact"/>
        <w:ind w:firstLine="480" w:firstLineChars="200"/>
        <w:rPr>
          <w:rFonts w:hint="eastAsia" w:ascii="宋体" w:hAnsi="宋体" w:eastAsia="宋体" w:cs="宋体"/>
        </w:rPr>
      </w:pPr>
      <w:r>
        <w:rPr>
          <w:rFonts w:hint="eastAsia" w:ascii="宋体" w:hAnsi="宋体" w:eastAsia="宋体" w:cs="宋体"/>
          <w:sz w:val="24"/>
        </w:rPr>
        <w:t>6.投标人须知前附表规定公示的其他内容。</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7.2 评标结果异议</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投标人或其他利害关系人对依法必须进行招标的项目评标结果有异议的，应在中标候选人公示期间提出，招标人将在收到异议之日起3日内作出答复；作出答复前，将暂停招标投标活动。</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7.3 中标候选人履约能力审查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7.4 定标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按照投标人须知前附表的规定，招标人或招标人授权的评标委员会依法确定中标人。</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7.5 中标通知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在本章第3.3 款规定的投标有效期内，招标人以投标人须知前附表规定的形式向中标人发出中标通知书，同时将中标结果通知未中标的投标人。</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7.6 中标结果公告</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招标人在确定中标人之日起3日内，按照投标人须知前附表规定的公告媒介和期限公告中标结果，公告期不得少于3日。公告内容包括中标人名称、中标价。</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7.7履约保证金</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联合体中标的，其履约保证金以联合体各方或联合体中牵头人的名义提交。</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采用银行保函时，应由符合投标人须知前附表规定级别的银行开具，所需的费用由中标人承担，中标人应保证银行保函有效。</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7.7.2 中标人不能按本章第7.7.1 项要求提交履约保证金的，视为放弃中标，其投标保证金不予退还，给招标人造成的损失超过投标保证金数额的，中标人还应当对超过部分予以赔偿。</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7.8签订合同</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7.8.1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当对超过部分予以赔偿。</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7.8.2 发出中标通知书后，招标人无正当理由拒签合同，或在签订合同时向招标人提出附加条件的，招标人向中标人退还投标保证金；给中标人造成损失的，还应当赔偿损失。</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7.8.3 签约合同价的确定原则如下：</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（1）按照评标办法规定对投标报价进行修正后，若修正后的最终投标报价小于开标时的投标函大写金额报价，则签订合同时以修正后的最终投标报价为准。</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（2）按照评标办法规定对投标报价进行修正后，若修正后的最终投标报价大于开标时的投标函大写金额报价，则签订合同时以开标时的投标函文字报价为准，同时按比例修正相应子目的单价或合价。</w:t>
      </w:r>
    </w:p>
    <w:p>
      <w:pPr>
        <w:spacing w:line="500" w:lineRule="exact"/>
        <w:ind w:firstLine="480" w:firstLineChars="200"/>
        <w:rPr>
          <w:rFonts w:hint="eastAsia" w:ascii="宋体" w:hAnsi="宋体" w:eastAsia="宋体" w:cs="宋体"/>
          <w:spacing w:val="-2"/>
          <w:sz w:val="24"/>
        </w:rPr>
      </w:pPr>
      <w:r>
        <w:rPr>
          <w:rFonts w:hint="eastAsia" w:ascii="宋体" w:hAnsi="宋体" w:eastAsia="宋体" w:cs="宋体"/>
          <w:sz w:val="24"/>
        </w:rPr>
        <w:t xml:space="preserve">7.8.4 </w:t>
      </w:r>
      <w:r>
        <w:rPr>
          <w:rFonts w:hint="eastAsia" w:ascii="宋体" w:hAnsi="宋体" w:eastAsia="宋体" w:cs="宋体"/>
          <w:spacing w:val="-2"/>
          <w:sz w:val="24"/>
        </w:rPr>
        <w:t>联合体中标的，联合体各方应共同与招标人签订合同，就中标项目向招标人承担连带责任。</w:t>
      </w:r>
    </w:p>
    <w:p>
      <w:pPr>
        <w:spacing w:line="500" w:lineRule="exact"/>
        <w:ind w:firstLine="480" w:firstLineChars="200"/>
        <w:rPr>
          <w:rFonts w:hint="eastAsia" w:ascii="宋体" w:hAnsi="宋体" w:eastAsia="宋体" w:cs="宋体"/>
          <w:spacing w:val="-2"/>
          <w:sz w:val="24"/>
        </w:rPr>
      </w:pPr>
      <w:r>
        <w:rPr>
          <w:rFonts w:hint="eastAsia" w:ascii="宋体" w:hAnsi="宋体" w:eastAsia="宋体" w:cs="宋体"/>
          <w:sz w:val="24"/>
        </w:rPr>
        <w:t>7.8.5 招标人和中标人在签订</w:t>
      </w:r>
      <w:r>
        <w:rPr>
          <w:rFonts w:hint="eastAsia" w:ascii="宋体" w:hAnsi="宋体" w:eastAsia="宋体" w:cs="宋体"/>
          <w:spacing w:val="-2"/>
          <w:sz w:val="24"/>
        </w:rPr>
        <w:t>合同协议书的同时，须按照本招标文件规定的格式和要求签订廉政合同，明确双方在廉政建设方面的权利和义务以及应承担的违约责任。</w:t>
      </w:r>
    </w:p>
    <w:p>
      <w:pPr>
        <w:pStyle w:val="6"/>
        <w:spacing w:line="500" w:lineRule="exact"/>
        <w:rPr>
          <w:rFonts w:hint="eastAsia" w:ascii="宋体" w:hAnsi="宋体" w:eastAsia="宋体" w:cs="宋体"/>
          <w:sz w:val="28"/>
          <w:szCs w:val="28"/>
        </w:rPr>
      </w:pPr>
      <w:bookmarkStart w:id="50" w:name="_Toc184635079"/>
      <w:bookmarkStart w:id="51" w:name="_Toc237332753"/>
      <w:r>
        <w:rPr>
          <w:rFonts w:hint="eastAsia" w:ascii="宋体" w:hAnsi="宋体" w:eastAsia="宋体" w:cs="宋体"/>
          <w:sz w:val="28"/>
          <w:szCs w:val="28"/>
        </w:rPr>
        <w:t>8．纪律和监督</w:t>
      </w:r>
      <w:bookmarkEnd w:id="50"/>
      <w:bookmarkEnd w:id="51"/>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8.1 对招标人的纪律要求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招标人不得泄漏招标投标活动中应保密的情况和资料，不得与投标人串通损害国家利益、社会公共利益或他人合法权益。</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8.2 对投标人的纪律要求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8.3 对评标委员会成员的纪律要求</w:t>
      </w:r>
    </w:p>
    <w:p>
      <w:pPr>
        <w:spacing w:line="50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8.4 对与评标活动有关的工作人员的纪律要求</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8.5 投诉</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8.5.1 投标人或其他利害关系人认为招标投标活动不符合法律、行政法规规定的，可以自知道或应当知道之日起10日内向招标人提出异议，如对异议答复不满意的可向有关行政监督部门投诉。</w:t>
      </w:r>
      <w:bookmarkStart w:id="52" w:name="_Toc237332754"/>
      <w:bookmarkStart w:id="53" w:name="_Toc184635080"/>
      <w:r>
        <w:rPr>
          <w:rFonts w:hint="eastAsia" w:ascii="宋体" w:hAnsi="宋体" w:eastAsia="宋体" w:cs="宋体"/>
          <w:sz w:val="24"/>
        </w:rPr>
        <w:t>投诉应有明确的请求和必要的证明材料。</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监督部门的联系方式见投标人须知前附表。</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8.5.2 投标人或其他利害关系人对招标文件、开标和评标结果提出投诉的，应按照投标人须知第2.4款、第5.3款和第7.2款的规定先向招标人提出异议。异议答复期间不计算在第8.5.1项规定的期限内。</w:t>
      </w:r>
    </w:p>
    <w:p>
      <w:pPr>
        <w:spacing w:line="500" w:lineRule="exact"/>
        <w:rPr>
          <w:rFonts w:hint="eastAsia" w:ascii="宋体" w:hAnsi="宋体" w:eastAsia="宋体" w:cs="宋体"/>
          <w:b/>
          <w:sz w:val="28"/>
          <w:szCs w:val="28"/>
        </w:rPr>
      </w:pPr>
      <w:r>
        <w:rPr>
          <w:rFonts w:hint="eastAsia" w:ascii="宋体" w:hAnsi="宋体" w:eastAsia="宋体" w:cs="宋体"/>
          <w:b/>
          <w:sz w:val="28"/>
          <w:szCs w:val="28"/>
        </w:rPr>
        <w:t>9．是否采用电子招标投标</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本招标项目是否采用电子招标投标方式，见投标人须知前附表。</w:t>
      </w:r>
    </w:p>
    <w:p>
      <w:pPr>
        <w:spacing w:line="500" w:lineRule="exact"/>
        <w:rPr>
          <w:rFonts w:hint="eastAsia" w:ascii="宋体" w:hAnsi="宋体" w:eastAsia="宋体" w:cs="宋体"/>
          <w:b/>
          <w:sz w:val="28"/>
          <w:szCs w:val="28"/>
        </w:rPr>
      </w:pPr>
      <w:r>
        <w:rPr>
          <w:rFonts w:hint="eastAsia" w:ascii="宋体" w:hAnsi="宋体" w:eastAsia="宋体" w:cs="宋体"/>
          <w:b/>
          <w:sz w:val="28"/>
          <w:szCs w:val="28"/>
        </w:rPr>
        <w:t>10．需要补充的其他内容</w:t>
      </w:r>
      <w:bookmarkEnd w:id="52"/>
      <w:bookmarkEnd w:id="53"/>
    </w:p>
    <w:p>
      <w:pPr>
        <w:pStyle w:val="7"/>
        <w:spacing w:line="500" w:lineRule="exact"/>
        <w:rPr>
          <w:rFonts w:hint="eastAsia" w:ascii="宋体" w:hAnsi="宋体" w:eastAsia="宋体" w:cs="宋体"/>
          <w:sz w:val="24"/>
          <w:szCs w:val="24"/>
        </w:rPr>
      </w:pPr>
      <w:r>
        <w:rPr>
          <w:rFonts w:hint="eastAsia" w:ascii="宋体" w:hAnsi="宋体" w:eastAsia="宋体" w:cs="宋体"/>
          <w:sz w:val="24"/>
          <w:szCs w:val="24"/>
        </w:rPr>
        <w:t>10.1 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需要补充的其他内容：见投标人须知前附表。</w:t>
      </w:r>
    </w:p>
    <w:p>
      <w:pPr>
        <w:spacing w:before="10" w:line="400" w:lineRule="exact"/>
        <w:ind w:firstLine="480" w:firstLineChars="200"/>
        <w:rPr>
          <w:rFonts w:ascii="新宋体" w:hAnsi="新宋体" w:eastAsia="新宋体" w:cs="新宋体"/>
          <w:sz w:val="24"/>
        </w:rPr>
      </w:pPr>
    </w:p>
    <w:p/>
    <w:p>
      <w:pPr>
        <w:pStyle w:val="3"/>
        <w:spacing w:before="240" w:after="240" w:line="240" w:lineRule="auto"/>
        <w:jc w:val="center"/>
        <w:rPr>
          <w:rFonts w:ascii="新宋体" w:hAnsi="新宋体" w:eastAsia="新宋体" w:cs="新宋体"/>
          <w:b w:val="0"/>
          <w:sz w:val="28"/>
          <w:szCs w:val="28"/>
        </w:rPr>
      </w:pPr>
      <w:bookmarkStart w:id="54" w:name="_Toc20435"/>
      <w:bookmarkStart w:id="55" w:name="_Toc509993881"/>
      <w:bookmarkStart w:id="56" w:name="_Toc7605_WPSOffice_Level1"/>
      <w:bookmarkStart w:id="57" w:name="_Toc234832942"/>
      <w:bookmarkStart w:id="58" w:name="_Toc26378_WPSOffice_Level1"/>
      <w:bookmarkStart w:id="59" w:name="_Toc26725_WPSOffice_Level1"/>
      <w:r>
        <w:rPr>
          <w:rFonts w:hint="eastAsia" w:ascii="新宋体" w:hAnsi="新宋体" w:eastAsia="新宋体" w:cs="新宋体"/>
          <w:b w:val="0"/>
          <w:sz w:val="28"/>
          <w:szCs w:val="28"/>
        </w:rPr>
        <w:t>第三章  评标办法（综合评估法）</w:t>
      </w:r>
      <w:bookmarkEnd w:id="54"/>
      <w:bookmarkEnd w:id="55"/>
      <w:bookmarkEnd w:id="56"/>
      <w:bookmarkEnd w:id="57"/>
      <w:bookmarkEnd w:id="58"/>
      <w:bookmarkEnd w:id="59"/>
    </w:p>
    <w:p>
      <w:pPr>
        <w:spacing w:line="360" w:lineRule="auto"/>
        <w:ind w:firstLine="481" w:firstLineChars="200"/>
        <w:jc w:val="center"/>
        <w:rPr>
          <w:rFonts w:hint="eastAsia" w:ascii="宋体" w:hAnsi="宋体" w:eastAsia="宋体" w:cs="宋体"/>
          <w:b/>
          <w:sz w:val="24"/>
          <w:szCs w:val="24"/>
        </w:rPr>
      </w:pPr>
      <w:bookmarkStart w:id="60" w:name="_Toc237332756"/>
      <w:bookmarkStart w:id="61" w:name="_Toc27372_WPSOffice_Level2"/>
      <w:bookmarkStart w:id="62" w:name="_Toc509993883"/>
      <w:bookmarkStart w:id="63" w:name="_Toc32682_WPSOffice_Level2"/>
      <w:bookmarkStart w:id="64" w:name="_Toc8756"/>
      <w:bookmarkStart w:id="65" w:name="_Toc3606_WPSOffice_Level2"/>
      <w:bookmarkStart w:id="66" w:name="_Toc10146_WPSOffice_Level2"/>
      <w:bookmarkStart w:id="67" w:name="_Toc234832944"/>
      <w:r>
        <w:rPr>
          <w:rFonts w:hint="eastAsia" w:ascii="宋体" w:hAnsi="宋体" w:eastAsia="宋体" w:cs="宋体"/>
          <w:b/>
          <w:sz w:val="24"/>
          <w:szCs w:val="24"/>
        </w:rPr>
        <w:t>评标办法前附表</w:t>
      </w:r>
    </w:p>
    <w:tbl>
      <w:tblPr>
        <w:tblStyle w:val="2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30"/>
        <w:gridCol w:w="7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74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评标</w:t>
            </w:r>
          </w:p>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方法</w:t>
            </w:r>
          </w:p>
        </w:tc>
        <w:tc>
          <w:tcPr>
            <w:tcW w:w="74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综合评分相等时，评标委员会依次按照以下优先顺序推荐中标候选人或确定中标人： </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（1）评标价低的投标人优先； </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（2）商务和技术得分较高的投标人优先； </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（3）商务和技术文件得分相等时，则以递交文件顺序较前的优先。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9" w:hRule="atLeast"/>
          <w:jc w:val="center"/>
        </w:trPr>
        <w:tc>
          <w:tcPr>
            <w:tcW w:w="673" w:type="dxa"/>
            <w:tcBorders>
              <w:top w:val="single" w:color="auto" w:sz="4" w:space="0"/>
              <w:left w:val="single" w:color="auto" w:sz="4" w:space="0"/>
              <w:bottom w:val="single" w:color="auto" w:sz="4" w:space="0"/>
              <w:right w:val="single" w:color="auto" w:sz="8" w:space="0"/>
            </w:tcBorders>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2.1.1</w:t>
            </w:r>
          </w:p>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2.1.3</w:t>
            </w:r>
          </w:p>
        </w:tc>
        <w:tc>
          <w:tcPr>
            <w:tcW w:w="730" w:type="dxa"/>
            <w:tcBorders>
              <w:top w:val="single" w:color="auto" w:sz="4" w:space="0"/>
              <w:left w:val="single" w:color="auto" w:sz="8" w:space="0"/>
              <w:bottom w:val="single" w:color="auto" w:sz="4" w:space="0"/>
              <w:right w:val="single" w:color="auto" w:sz="4" w:space="0"/>
            </w:tcBorders>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形式评审标准与响应性评审标准</w:t>
            </w:r>
          </w:p>
        </w:tc>
        <w:tc>
          <w:tcPr>
            <w:tcW w:w="7413" w:type="dxa"/>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240" w:firstLineChars="100"/>
              <w:rPr>
                <w:rFonts w:hint="eastAsia" w:ascii="宋体" w:hAnsi="宋体" w:eastAsia="宋体" w:cs="宋体"/>
                <w:b/>
                <w:bCs/>
                <w:sz w:val="24"/>
                <w:szCs w:val="24"/>
              </w:rPr>
            </w:pPr>
            <w:r>
              <w:rPr>
                <w:rFonts w:hint="eastAsia" w:ascii="宋体" w:hAnsi="宋体" w:eastAsia="宋体" w:cs="宋体"/>
                <w:b/>
                <w:bCs/>
                <w:sz w:val="24"/>
                <w:szCs w:val="24"/>
              </w:rPr>
              <w:t>第一个信封（商务及技术文件）评审标准：</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（1）投标文件按照招标文件规定的格式、内容填写，字迹清晰可辨：</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a.投标函按照招标文件规定填报了项目名称、标段号、补遗书编号（如有）、监理服务期限、工程质量要求及安全目标；</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b.投标文件组成齐全完整，内容均按规定填写；</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（2）投标文件上法定代表人或其委托代理人的签字、投标人的单位章盖章齐全，符合招标文件规定。</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（3）投标人按照招标文件的规定提供了投标保证金：</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a.投标保证金金额符合招标文件规定的金额，且投标保证金有效期不少于投标有效期；</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b.若投标保证金采用现金或支票形式提交，投标人应在递交投标文件截止时间之前，将投标保证金由投标人的基本账户转入招标人指定账户；</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c.若投标保证金采用银行保函形式提交，银行保函的格式、开具保函的银行均满足招标文件要求，且在递交投标文件截止时间之前向招标人提交了银行保函原件。</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（4）投标人法定代表人授权委托代理人签署投标文件的，须提交授权委托书，且授权人和被授权人均在授权委托书上签名，未使用印章、签名章或其他电子制版签名代替。</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（5）投标人法定代表人亲自签署投标文件的，提供了法定代表人身份证明，且法定代表人在法定代表人身份证明上签名，未使用印章、签名章或其他电子制版签名代替。</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（6）同一投标人未提交两个以上不同的投标文件，但招标文件要求提交备选投标的除外。</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（7）投标文件中未出现有关投标报价的内容。</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（8）投标文件载明的招标项目完成期限符合招标文件规定。</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（9）投标文件对招标文件的实质性要求和条件作出响应。</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（10）权利义务符合招标文件规定：</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a.投标人应接受招标文件规定的风险划分原则，未提出新的风险划分办法；</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b.投标人未增加委托人的责任范围，或减少投标人义务；</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c.投标人未提出不同的支付办法；</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d.投标人对合同纠纷、事故处理办法未提出异议；</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e.投标人在投标活动中无欺诈行为；</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f.投标人未对合同条款有重要保留。</w:t>
            </w:r>
          </w:p>
          <w:p>
            <w:pPr>
              <w:spacing w:line="420" w:lineRule="exact"/>
              <w:ind w:firstLine="240" w:firstLineChars="100"/>
              <w:rPr>
                <w:rFonts w:hint="eastAsia" w:ascii="宋体" w:hAnsi="宋体" w:eastAsia="宋体" w:cs="宋体"/>
                <w:b/>
                <w:bCs/>
                <w:sz w:val="24"/>
                <w:szCs w:val="24"/>
              </w:rPr>
            </w:pPr>
            <w:r>
              <w:rPr>
                <w:rFonts w:hint="eastAsia" w:ascii="宋体" w:hAnsi="宋体" w:eastAsia="宋体" w:cs="宋体"/>
                <w:b/>
                <w:bCs/>
                <w:sz w:val="24"/>
                <w:szCs w:val="24"/>
              </w:rPr>
              <w:t xml:space="preserve">第二个信封（报价文件）评审标准：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（1）投标文件按照招标文件规定的格式、内容填写，字迹清晰可辨，内容齐全完整：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a.投标函按招标文件规定填报了项目名称、标段号、补遗书编号（如有）、投标价（包括大写金额和小写金额）；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b.已标价报价清单说明文字与招标文件规定一致，未进行实质性修改和删减；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c.投标文件组成齐全完整，内容均按规定填写。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（2）投标文件上法定代表人或其委托代理人的签字、投标人的单位章盖章齐全，符合招标文件规定。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（3）投标报价未超过招标文件设定的最高投标限价。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（4）投标报价的大写金额能够确定具体数值。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（5）同一投标人未提交两个以上不同的投标报价，但招标文件要求提交备选投标的除外。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（6）缺陷责任期的费用合计不少于监理服务费用总计的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jc w:val="center"/>
        </w:trPr>
        <w:tc>
          <w:tcPr>
            <w:tcW w:w="673" w:type="dxa"/>
            <w:tcBorders>
              <w:top w:val="single" w:color="auto" w:sz="4" w:space="0"/>
              <w:left w:val="single" w:color="auto" w:sz="4" w:space="0"/>
              <w:right w:val="single" w:color="auto" w:sz="8" w:space="0"/>
            </w:tcBorders>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2.1.2</w:t>
            </w:r>
          </w:p>
        </w:tc>
        <w:tc>
          <w:tcPr>
            <w:tcW w:w="730" w:type="dxa"/>
            <w:tcBorders>
              <w:top w:val="single" w:color="auto" w:sz="4" w:space="0"/>
              <w:left w:val="single" w:color="auto" w:sz="8"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资格评审标准</w:t>
            </w:r>
          </w:p>
        </w:tc>
        <w:tc>
          <w:tcPr>
            <w:tcW w:w="7413" w:type="dxa"/>
            <w:tcBorders>
              <w:top w:val="single" w:color="auto" w:sz="4" w:space="0"/>
              <w:left w:val="single" w:color="auto" w:sz="4" w:space="0"/>
              <w:bottom w:val="single" w:color="auto" w:sz="8" w:space="0"/>
              <w:right w:val="single" w:color="auto" w:sz="4" w:space="0"/>
            </w:tcBorders>
            <w:noWrap w:val="0"/>
            <w:vAlign w:val="center"/>
          </w:tcPr>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（1）投标人具备有效的营业执照（三证合一或五证合一）、监理资质证书和基本账户开户许可证。</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（2）投标人的资质等级符合招标文件规定。</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（3）投标人的类似项目业绩符合招标文件规定。</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（4）投标人的信誉符合招标文件规定。</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（5）投标人的总监理工程师资格、在岗情况符合招标文件规定。</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（6）投标人的其他要求符合招标文件规定。</w:t>
            </w:r>
          </w:p>
          <w:p>
            <w:pPr>
              <w:spacing w:line="420" w:lineRule="exact"/>
              <w:ind w:firstLine="236" w:firstLineChars="100"/>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（7）投标人不存在第二章“投标人须知”第1.4.3项或第1.4.4项规定的任何一种情形。</w:t>
            </w:r>
          </w:p>
          <w:p>
            <w:pPr>
              <w:spacing w:line="42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（8）投标人符合第二章“投标人须知”第1.4.5项规定。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73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条款内容</w:t>
            </w:r>
          </w:p>
        </w:tc>
        <w:tc>
          <w:tcPr>
            <w:tcW w:w="7413"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编 列 内 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2.2.1</w:t>
            </w:r>
          </w:p>
        </w:tc>
        <w:tc>
          <w:tcPr>
            <w:tcW w:w="730"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分值构成</w:t>
            </w:r>
          </w:p>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（总分100分）</w:t>
            </w:r>
          </w:p>
        </w:tc>
        <w:tc>
          <w:tcPr>
            <w:tcW w:w="74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40" w:firstLineChars="100"/>
              <w:rPr>
                <w:rFonts w:hint="eastAsia" w:ascii="宋体" w:hAnsi="宋体" w:eastAsia="宋体" w:cs="宋体"/>
                <w:b/>
                <w:sz w:val="24"/>
                <w:szCs w:val="24"/>
              </w:rPr>
            </w:pPr>
            <w:r>
              <w:rPr>
                <w:rFonts w:hint="eastAsia" w:ascii="宋体" w:hAnsi="宋体" w:eastAsia="宋体" w:cs="宋体"/>
                <w:b/>
                <w:sz w:val="24"/>
                <w:szCs w:val="24"/>
              </w:rPr>
              <w:t>第一个信封（商务及技术文件）评分分值构成：</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技术建议书：35分</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主要人员：20分</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技术能力：5分</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业绩：25分</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履约信誉：5分</w:t>
            </w:r>
          </w:p>
          <w:p>
            <w:pPr>
              <w:spacing w:line="420" w:lineRule="exact"/>
              <w:ind w:firstLine="240" w:firstLineChars="100"/>
              <w:rPr>
                <w:rFonts w:hint="eastAsia" w:ascii="宋体" w:hAnsi="宋体" w:eastAsia="宋体" w:cs="宋体"/>
                <w:b/>
                <w:sz w:val="24"/>
                <w:szCs w:val="24"/>
              </w:rPr>
            </w:pPr>
            <w:r>
              <w:rPr>
                <w:rFonts w:hint="eastAsia" w:ascii="宋体" w:hAnsi="宋体" w:eastAsia="宋体" w:cs="宋体"/>
                <w:b/>
                <w:sz w:val="24"/>
                <w:szCs w:val="24"/>
              </w:rPr>
              <w:t>第二个信封（报价文件）评分分值构成：</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2.2.2</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评标基准价计算方法</w:t>
            </w:r>
          </w:p>
        </w:tc>
        <w:tc>
          <w:tcPr>
            <w:tcW w:w="7413" w:type="dxa"/>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评标基准价的计算：</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评标基准价（P）：评标价去掉 n1 个最高评标价和 n2 个最低评标价后平均值直接作为评标基准价 P。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注：（1）N 为有效评标价的个数；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（2）n1、n2 的取值：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当 N&lt;6 时，n1、n2 均取 0； </w:t>
            </w:r>
          </w:p>
          <w:p>
            <w:pPr>
              <w:spacing w:line="42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当 N≥6 时，n1 在取值区间 1～M-1 中随机抽取（最小为 1），n2 </w:t>
            </w:r>
          </w:p>
          <w:p>
            <w:pPr>
              <w:spacing w:line="420" w:lineRule="exact"/>
              <w:ind w:firstLine="240" w:firstLineChars="100"/>
              <w:rPr>
                <w:rFonts w:hint="eastAsia" w:ascii="宋体" w:hAnsi="宋体" w:eastAsia="宋体" w:cs="宋体"/>
                <w:sz w:val="24"/>
                <w:szCs w:val="24"/>
                <w:u w:val="single"/>
              </w:rPr>
            </w:pPr>
            <w:r>
              <w:rPr>
                <w:rFonts w:hint="eastAsia" w:ascii="宋体" w:hAnsi="宋体" w:eastAsia="宋体" w:cs="宋体"/>
                <w:sz w:val="24"/>
                <w:szCs w:val="24"/>
              </w:rPr>
              <w:t>在取值区间 1～M+1 中随机抽取， M=N/4，M 去尾取整。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2.2.3</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评标价的偏差率计算公式</w:t>
            </w:r>
          </w:p>
        </w:tc>
        <w:tc>
          <w:tcPr>
            <w:tcW w:w="74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偏差率=100% ×（投标人评标价－评标基准价）/评标基准价</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偏差率保留 4 位小数</w:t>
            </w:r>
          </w:p>
        </w:tc>
      </w:tr>
    </w:tbl>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tbl>
      <w:tblPr>
        <w:tblStyle w:val="20"/>
        <w:tblW w:w="89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621"/>
        <w:gridCol w:w="1049"/>
        <w:gridCol w:w="1283"/>
        <w:gridCol w:w="647"/>
        <w:gridCol w:w="4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5" w:type="dxa"/>
            <w:vMerge w:val="restart"/>
            <w:tcBorders>
              <w:top w:val="single" w:color="auto" w:sz="12" w:space="0"/>
              <w:right w:val="single" w:color="auto" w:sz="4" w:space="0"/>
            </w:tcBorders>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3600" w:type="dxa"/>
            <w:gridSpan w:val="4"/>
            <w:tcBorders>
              <w:top w:val="single" w:color="auto" w:sz="12" w:space="0"/>
              <w:left w:val="single" w:color="auto" w:sz="4" w:space="0"/>
            </w:tcBorders>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评分因素与权重分值</w:t>
            </w:r>
          </w:p>
        </w:tc>
        <w:tc>
          <w:tcPr>
            <w:tcW w:w="4651" w:type="dxa"/>
            <w:vMerge w:val="restart"/>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5" w:type="dxa"/>
            <w:vMerge w:val="continue"/>
            <w:tcBorders>
              <w:right w:val="single" w:color="auto" w:sz="4" w:space="0"/>
            </w:tcBorders>
            <w:noWrap w:val="0"/>
            <w:vAlign w:val="center"/>
          </w:tcPr>
          <w:p>
            <w:pPr>
              <w:spacing w:line="420" w:lineRule="exact"/>
              <w:jc w:val="center"/>
              <w:rPr>
                <w:rFonts w:hint="eastAsia" w:ascii="宋体" w:hAnsi="宋体" w:eastAsia="宋体" w:cs="宋体"/>
                <w:b/>
                <w:sz w:val="24"/>
                <w:szCs w:val="24"/>
              </w:rPr>
            </w:pPr>
          </w:p>
        </w:tc>
        <w:tc>
          <w:tcPr>
            <w:tcW w:w="621" w:type="dxa"/>
            <w:tcBorders>
              <w:left w:val="single" w:color="auto" w:sz="4" w:space="0"/>
            </w:tcBorders>
            <w:noWrap w:val="0"/>
            <w:tcMar>
              <w:top w:w="0" w:type="dxa"/>
              <w:left w:w="51" w:type="dxa"/>
              <w:bottom w:w="0" w:type="dxa"/>
              <w:right w:w="51" w:type="dxa"/>
            </w:tcMar>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1049" w:type="dxa"/>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评分因素权重分值</w:t>
            </w:r>
          </w:p>
        </w:tc>
        <w:tc>
          <w:tcPr>
            <w:tcW w:w="1283" w:type="dxa"/>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各评分因素细分项</w:t>
            </w:r>
          </w:p>
        </w:tc>
        <w:tc>
          <w:tcPr>
            <w:tcW w:w="647" w:type="dxa"/>
            <w:noWrap w:val="0"/>
            <w:tcMar>
              <w:top w:w="0" w:type="dxa"/>
              <w:left w:w="51" w:type="dxa"/>
              <w:bottom w:w="0" w:type="dxa"/>
              <w:right w:w="51" w:type="dxa"/>
            </w:tcMar>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4651" w:type="dxa"/>
            <w:vMerge w:val="continue"/>
            <w:noWrap w:val="0"/>
            <w:vAlign w:val="center"/>
          </w:tcPr>
          <w:p>
            <w:pPr>
              <w:spacing w:line="420" w:lineRule="exact"/>
              <w:jc w:val="center"/>
              <w:rPr>
                <w:rFonts w:hint="eastAsia" w:ascii="宋体" w:hAnsi="宋体" w:eastAsia="宋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5" w:hRule="atLeast"/>
          <w:jc w:val="center"/>
        </w:trPr>
        <w:tc>
          <w:tcPr>
            <w:tcW w:w="735" w:type="dxa"/>
            <w:vMerge w:val="restart"/>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2.2.4（1）</w:t>
            </w:r>
          </w:p>
        </w:tc>
        <w:tc>
          <w:tcPr>
            <w:tcW w:w="621" w:type="dxa"/>
            <w:vMerge w:val="restart"/>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技术</w:t>
            </w:r>
          </w:p>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建议书</w:t>
            </w:r>
          </w:p>
        </w:tc>
        <w:tc>
          <w:tcPr>
            <w:tcW w:w="1049" w:type="dxa"/>
            <w:vMerge w:val="restart"/>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35</w:t>
            </w:r>
            <w:r>
              <w:rPr>
                <w:rFonts w:hint="eastAsia" w:ascii="宋体" w:hAnsi="宋体" w:eastAsia="宋体" w:cs="宋体"/>
                <w:sz w:val="24"/>
                <w:szCs w:val="24"/>
              </w:rPr>
              <w:t>分</w:t>
            </w:r>
          </w:p>
        </w:tc>
        <w:tc>
          <w:tcPr>
            <w:tcW w:w="1283" w:type="dxa"/>
            <w:noWrap w:val="0"/>
            <w:vAlign w:val="center"/>
          </w:tcPr>
          <w:p>
            <w:pPr>
              <w:tabs>
                <w:tab w:val="left" w:pos="804"/>
                <w:tab w:val="left" w:pos="1804"/>
              </w:tabs>
              <w:topLinePunct/>
              <w:adjustRightInd w:val="0"/>
              <w:spacing w:line="420" w:lineRule="exact"/>
              <w:rPr>
                <w:rFonts w:hint="eastAsia" w:ascii="宋体" w:hAnsi="宋体" w:eastAsia="宋体" w:cs="宋体"/>
                <w:sz w:val="24"/>
                <w:szCs w:val="24"/>
              </w:rPr>
            </w:pPr>
            <w:r>
              <w:rPr>
                <w:rFonts w:hint="eastAsia" w:ascii="宋体" w:hAnsi="宋体" w:eastAsia="宋体" w:cs="宋体"/>
                <w:sz w:val="24"/>
                <w:szCs w:val="24"/>
              </w:rPr>
              <w:t>监理大纲（或监理方案）和措施</w:t>
            </w:r>
          </w:p>
          <w:p>
            <w:pPr>
              <w:spacing w:line="300" w:lineRule="exact"/>
              <w:jc w:val="left"/>
              <w:rPr>
                <w:rFonts w:hint="eastAsia" w:ascii="宋体" w:hAnsi="宋体" w:eastAsia="宋体" w:cs="宋体"/>
                <w:spacing w:val="-6"/>
                <w:sz w:val="24"/>
                <w:szCs w:val="24"/>
              </w:rPr>
            </w:pPr>
          </w:p>
        </w:tc>
        <w:tc>
          <w:tcPr>
            <w:tcW w:w="647" w:type="dxa"/>
            <w:noWrap w:val="0"/>
            <w:tcMar>
              <w:top w:w="0" w:type="dxa"/>
              <w:left w:w="51" w:type="dxa"/>
              <w:bottom w:w="0" w:type="dxa"/>
              <w:right w:w="51" w:type="dxa"/>
            </w:tcMar>
            <w:vAlign w:val="center"/>
          </w:tcPr>
          <w:p>
            <w:pPr>
              <w:spacing w:line="300" w:lineRule="exact"/>
              <w:jc w:val="center"/>
              <w:rPr>
                <w:rFonts w:hint="eastAsia" w:ascii="宋体" w:hAnsi="宋体" w:eastAsia="宋体" w:cs="宋体"/>
                <w:sz w:val="24"/>
                <w:szCs w:val="24"/>
                <w:u w:val="single"/>
              </w:rPr>
            </w:pPr>
            <w:r>
              <w:rPr>
                <w:rFonts w:hint="eastAsia" w:ascii="宋体" w:hAnsi="宋体" w:eastAsia="宋体" w:cs="宋体"/>
                <w:sz w:val="24"/>
                <w:szCs w:val="24"/>
              </w:rPr>
              <w:t>20分</w:t>
            </w:r>
          </w:p>
        </w:tc>
        <w:tc>
          <w:tcPr>
            <w:tcW w:w="4651" w:type="dxa"/>
            <w:noWrap w:val="0"/>
            <w:vAlign w:val="center"/>
          </w:tcPr>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 xml:space="preserve">a. 监理大纲（或监理方案）10 分 </w:t>
            </w:r>
          </w:p>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 xml:space="preserve">根据投标人的监理大纲（监理方案）是否可行，能否充分满足本项目工程质量、进度、费用控制的要求进行评定，合理可行的得 8-10 分，较合理可行的得 5-8 分，可行性一般得 0-5 分。 </w:t>
            </w:r>
          </w:p>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b.监理措施 10 分</w:t>
            </w:r>
          </w:p>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根据质量监理、安全监理、费用监理、进度监理、合同其他事项管理、协调各方关系等各项措施的合理可行性和有效性进行评定，措施好、得力的得 8-10 分，措施较好的得 5-8 分，措施一般的得 0-5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8" w:hRule="atLeast"/>
          <w:jc w:val="center"/>
        </w:trPr>
        <w:tc>
          <w:tcPr>
            <w:tcW w:w="735" w:type="dxa"/>
            <w:vMerge w:val="continue"/>
            <w:noWrap w:val="0"/>
            <w:vAlign w:val="center"/>
          </w:tcPr>
          <w:p>
            <w:pPr>
              <w:spacing w:line="420" w:lineRule="exact"/>
              <w:jc w:val="center"/>
              <w:rPr>
                <w:rFonts w:hint="eastAsia" w:ascii="宋体" w:hAnsi="宋体" w:eastAsia="宋体" w:cs="宋体"/>
                <w:sz w:val="24"/>
                <w:szCs w:val="24"/>
              </w:rPr>
            </w:pPr>
          </w:p>
        </w:tc>
        <w:tc>
          <w:tcPr>
            <w:tcW w:w="621" w:type="dxa"/>
            <w:vMerge w:val="continue"/>
            <w:noWrap w:val="0"/>
            <w:vAlign w:val="center"/>
          </w:tcPr>
          <w:p>
            <w:pPr>
              <w:spacing w:line="420" w:lineRule="exact"/>
              <w:jc w:val="center"/>
              <w:rPr>
                <w:rFonts w:hint="eastAsia" w:ascii="宋体" w:hAnsi="宋体" w:eastAsia="宋体" w:cs="宋体"/>
                <w:sz w:val="24"/>
                <w:szCs w:val="24"/>
              </w:rPr>
            </w:pPr>
          </w:p>
        </w:tc>
        <w:tc>
          <w:tcPr>
            <w:tcW w:w="1049" w:type="dxa"/>
            <w:vMerge w:val="continue"/>
            <w:noWrap w:val="0"/>
            <w:vAlign w:val="center"/>
          </w:tcPr>
          <w:p>
            <w:pPr>
              <w:spacing w:line="420" w:lineRule="exact"/>
              <w:jc w:val="center"/>
              <w:rPr>
                <w:rFonts w:hint="eastAsia" w:ascii="宋体" w:hAnsi="宋体" w:eastAsia="宋体" w:cs="宋体"/>
                <w:sz w:val="24"/>
                <w:szCs w:val="24"/>
              </w:rPr>
            </w:pPr>
          </w:p>
        </w:tc>
        <w:tc>
          <w:tcPr>
            <w:tcW w:w="1283" w:type="dxa"/>
            <w:noWrap w:val="0"/>
            <w:vAlign w:val="center"/>
          </w:tcPr>
          <w:p>
            <w:pPr>
              <w:tabs>
                <w:tab w:val="left" w:pos="804"/>
                <w:tab w:val="left" w:pos="1804"/>
              </w:tabs>
              <w:topLinePunct/>
              <w:adjustRightInd w:val="0"/>
              <w:spacing w:line="420" w:lineRule="exact"/>
              <w:rPr>
                <w:rFonts w:hint="eastAsia" w:ascii="宋体" w:hAnsi="宋体" w:eastAsia="宋体" w:cs="宋体"/>
                <w:sz w:val="24"/>
                <w:szCs w:val="24"/>
              </w:rPr>
            </w:pPr>
            <w:r>
              <w:rPr>
                <w:rFonts w:hint="eastAsia" w:ascii="宋体" w:hAnsi="宋体" w:eastAsia="宋体" w:cs="宋体"/>
                <w:sz w:val="24"/>
                <w:szCs w:val="24"/>
              </w:rPr>
              <w:t>本工程监理工作的重点与难点分析</w:t>
            </w:r>
          </w:p>
        </w:tc>
        <w:tc>
          <w:tcPr>
            <w:tcW w:w="647" w:type="dxa"/>
            <w:noWrap w:val="0"/>
            <w:vAlign w:val="center"/>
          </w:tcPr>
          <w:p>
            <w:pPr>
              <w:tabs>
                <w:tab w:val="left" w:pos="804"/>
                <w:tab w:val="left" w:pos="1804"/>
              </w:tabs>
              <w:topLinePunct/>
              <w:adjustRightInd w:val="0"/>
              <w:spacing w:line="420" w:lineRule="exact"/>
              <w:rPr>
                <w:rFonts w:hint="eastAsia" w:ascii="宋体" w:hAnsi="宋体" w:eastAsia="宋体" w:cs="宋体"/>
                <w:sz w:val="24"/>
                <w:szCs w:val="24"/>
              </w:rPr>
            </w:pPr>
            <w:r>
              <w:rPr>
                <w:rFonts w:hint="eastAsia" w:ascii="宋体" w:hAnsi="宋体" w:eastAsia="宋体" w:cs="宋体"/>
                <w:sz w:val="24"/>
                <w:szCs w:val="24"/>
              </w:rPr>
              <w:t>10分</w:t>
            </w:r>
          </w:p>
        </w:tc>
        <w:tc>
          <w:tcPr>
            <w:tcW w:w="4651" w:type="dxa"/>
            <w:noWrap w:val="0"/>
            <w:vAlign w:val="center"/>
          </w:tcPr>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 xml:space="preserve">a.对本工程重点、难点问题的把握程度（5 分）： </w:t>
            </w:r>
          </w:p>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 xml:space="preserve">非常准确的得 4-5 分，较准确的得 3-4 分，基本准确得 0-3 分。 </w:t>
            </w:r>
          </w:p>
          <w:p>
            <w:pPr>
              <w:tabs>
                <w:tab w:val="left" w:pos="804"/>
                <w:tab w:val="left" w:pos="1804"/>
              </w:tabs>
              <w:topLinePunct/>
              <w:adjustRightInd w:val="0"/>
              <w:spacing w:line="420" w:lineRule="exact"/>
              <w:rPr>
                <w:rFonts w:hint="eastAsia" w:ascii="宋体" w:hAnsi="宋体" w:eastAsia="宋体" w:cs="宋体"/>
                <w:spacing w:val="-6"/>
                <w:sz w:val="24"/>
                <w:szCs w:val="24"/>
              </w:rPr>
            </w:pPr>
            <w:r>
              <w:rPr>
                <w:rFonts w:hint="eastAsia" w:ascii="宋体" w:hAnsi="宋体" w:eastAsia="宋体" w:cs="宋体"/>
                <w:spacing w:val="-6"/>
                <w:sz w:val="24"/>
                <w:szCs w:val="24"/>
              </w:rPr>
              <w:t xml:space="preserve">b.投标人针对本项目应着重解决的重点、难点问题所提出的处理措施可行性程度（5 分）： </w:t>
            </w:r>
          </w:p>
          <w:p>
            <w:pPr>
              <w:tabs>
                <w:tab w:val="left" w:pos="804"/>
                <w:tab w:val="left" w:pos="1804"/>
              </w:tabs>
              <w:topLinePunct/>
              <w:adjustRightInd w:val="0"/>
              <w:spacing w:line="420" w:lineRule="exact"/>
              <w:rPr>
                <w:rFonts w:hint="eastAsia" w:ascii="宋体" w:hAnsi="宋体" w:eastAsia="宋体" w:cs="宋体"/>
                <w:sz w:val="24"/>
                <w:szCs w:val="24"/>
              </w:rPr>
            </w:pPr>
            <w:r>
              <w:rPr>
                <w:rFonts w:hint="eastAsia" w:ascii="宋体" w:hAnsi="宋体" w:eastAsia="宋体" w:cs="宋体"/>
                <w:spacing w:val="-6"/>
                <w:sz w:val="24"/>
                <w:szCs w:val="24"/>
              </w:rPr>
              <w:t>处理措施有效可行，得 4-5 分；基本有效可行，得3-4 分；可行性一般，得 0-3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7" w:hRule="atLeast"/>
          <w:jc w:val="center"/>
        </w:trPr>
        <w:tc>
          <w:tcPr>
            <w:tcW w:w="735" w:type="dxa"/>
            <w:vMerge w:val="continue"/>
            <w:noWrap w:val="0"/>
            <w:vAlign w:val="center"/>
          </w:tcPr>
          <w:p>
            <w:pPr>
              <w:spacing w:line="420" w:lineRule="exact"/>
              <w:jc w:val="center"/>
              <w:rPr>
                <w:rFonts w:hint="eastAsia" w:ascii="宋体" w:hAnsi="宋体" w:eastAsia="宋体" w:cs="宋体"/>
                <w:sz w:val="24"/>
                <w:szCs w:val="24"/>
              </w:rPr>
            </w:pPr>
          </w:p>
        </w:tc>
        <w:tc>
          <w:tcPr>
            <w:tcW w:w="621" w:type="dxa"/>
            <w:vMerge w:val="continue"/>
            <w:noWrap w:val="0"/>
            <w:vAlign w:val="center"/>
          </w:tcPr>
          <w:p>
            <w:pPr>
              <w:spacing w:line="420" w:lineRule="exact"/>
              <w:jc w:val="center"/>
              <w:rPr>
                <w:rFonts w:hint="eastAsia" w:ascii="宋体" w:hAnsi="宋体" w:eastAsia="宋体" w:cs="宋体"/>
                <w:sz w:val="24"/>
                <w:szCs w:val="24"/>
              </w:rPr>
            </w:pPr>
          </w:p>
        </w:tc>
        <w:tc>
          <w:tcPr>
            <w:tcW w:w="1049" w:type="dxa"/>
            <w:vMerge w:val="continue"/>
            <w:noWrap w:val="0"/>
            <w:vAlign w:val="center"/>
          </w:tcPr>
          <w:p>
            <w:pPr>
              <w:spacing w:line="420" w:lineRule="exact"/>
              <w:jc w:val="center"/>
              <w:rPr>
                <w:rFonts w:hint="eastAsia" w:ascii="宋体" w:hAnsi="宋体" w:eastAsia="宋体" w:cs="宋体"/>
                <w:sz w:val="24"/>
                <w:szCs w:val="24"/>
              </w:rPr>
            </w:pPr>
          </w:p>
        </w:tc>
        <w:tc>
          <w:tcPr>
            <w:tcW w:w="1283" w:type="dxa"/>
            <w:noWrap w:val="0"/>
            <w:vAlign w:val="center"/>
          </w:tcPr>
          <w:p>
            <w:pPr>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对本工程的建议</w:t>
            </w:r>
          </w:p>
        </w:tc>
        <w:tc>
          <w:tcPr>
            <w:tcW w:w="647"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5</w:t>
            </w:r>
            <w:r>
              <w:rPr>
                <w:rFonts w:hint="eastAsia" w:ascii="宋体" w:hAnsi="宋体" w:eastAsia="宋体" w:cs="宋体"/>
                <w:sz w:val="24"/>
                <w:szCs w:val="24"/>
              </w:rPr>
              <w:t>分</w:t>
            </w:r>
          </w:p>
        </w:tc>
        <w:tc>
          <w:tcPr>
            <w:tcW w:w="4651" w:type="dxa"/>
            <w:noWrap w:val="0"/>
            <w:vAlign w:val="center"/>
          </w:tcPr>
          <w:p>
            <w:pPr>
              <w:tabs>
                <w:tab w:val="left" w:pos="804"/>
                <w:tab w:val="left" w:pos="1804"/>
              </w:tabs>
              <w:topLinePunct/>
              <w:adjustRightInd w:val="0"/>
              <w:spacing w:line="420" w:lineRule="exact"/>
              <w:rPr>
                <w:rFonts w:hint="eastAsia" w:ascii="宋体" w:hAnsi="宋体" w:eastAsia="宋体" w:cs="宋体"/>
                <w:sz w:val="24"/>
                <w:szCs w:val="24"/>
              </w:rPr>
            </w:pPr>
            <w:r>
              <w:rPr>
                <w:rFonts w:hint="eastAsia" w:ascii="宋体" w:hAnsi="宋体" w:eastAsia="宋体" w:cs="宋体"/>
                <w:spacing w:val="-8"/>
                <w:sz w:val="24"/>
                <w:szCs w:val="24"/>
              </w:rPr>
              <w:t>对投标人所提建议的合理可行性、可实施性、项目针对性进行评分，很好得 4-5 分，较好得 3-4 分，一般得 0-3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9" w:hRule="atLeast"/>
          <w:jc w:val="center"/>
        </w:trPr>
        <w:tc>
          <w:tcPr>
            <w:tcW w:w="735"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2.2.4（2）</w:t>
            </w:r>
          </w:p>
        </w:tc>
        <w:tc>
          <w:tcPr>
            <w:tcW w:w="621" w:type="dxa"/>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主 要 人 员</w:t>
            </w:r>
          </w:p>
        </w:tc>
        <w:tc>
          <w:tcPr>
            <w:tcW w:w="1049"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20</w:t>
            </w:r>
            <w:r>
              <w:rPr>
                <w:rFonts w:hint="eastAsia" w:ascii="宋体" w:hAnsi="宋体" w:eastAsia="宋体" w:cs="宋体"/>
                <w:sz w:val="24"/>
                <w:szCs w:val="24"/>
              </w:rPr>
              <w:t>分</w:t>
            </w:r>
          </w:p>
        </w:tc>
        <w:tc>
          <w:tcPr>
            <w:tcW w:w="1283"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总监理工程师任职资格与业绩</w:t>
            </w:r>
          </w:p>
        </w:tc>
        <w:tc>
          <w:tcPr>
            <w:tcW w:w="647" w:type="dxa"/>
            <w:noWrap w:val="0"/>
            <w:tcMar>
              <w:top w:w="0" w:type="dxa"/>
              <w:left w:w="51" w:type="dxa"/>
              <w:bottom w:w="0" w:type="dxa"/>
              <w:right w:w="51" w:type="dxa"/>
            </w:tcMar>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20</w:t>
            </w:r>
            <w:r>
              <w:rPr>
                <w:rFonts w:hint="eastAsia" w:ascii="宋体" w:hAnsi="宋体" w:eastAsia="宋体" w:cs="宋体"/>
                <w:sz w:val="24"/>
                <w:szCs w:val="24"/>
              </w:rPr>
              <w:t>分</w:t>
            </w:r>
          </w:p>
        </w:tc>
        <w:tc>
          <w:tcPr>
            <w:tcW w:w="4651" w:type="dxa"/>
            <w:noWrap w:val="0"/>
            <w:vAlign w:val="center"/>
          </w:tcPr>
          <w:p>
            <w:pPr>
              <w:spacing w:line="420" w:lineRule="exact"/>
              <w:jc w:val="left"/>
              <w:rPr>
                <w:rFonts w:hint="eastAsia" w:ascii="宋体" w:hAnsi="宋体" w:eastAsia="宋体" w:cs="宋体"/>
                <w:sz w:val="24"/>
                <w:szCs w:val="24"/>
              </w:rPr>
            </w:pPr>
            <w:r>
              <w:rPr>
                <w:rFonts w:hint="eastAsia" w:ascii="宋体" w:hAnsi="宋体" w:eastAsia="宋体" w:cs="宋体"/>
                <w:spacing w:val="-6"/>
                <w:sz w:val="24"/>
                <w:szCs w:val="24"/>
              </w:rPr>
              <w:t>满足本招标文件附</w:t>
            </w:r>
            <w:r>
              <w:rPr>
                <w:rFonts w:hint="eastAsia" w:ascii="宋体" w:hAnsi="宋体" w:eastAsia="宋体" w:cs="宋体"/>
                <w:sz w:val="24"/>
                <w:szCs w:val="24"/>
              </w:rPr>
              <w:t>录</w:t>
            </w:r>
            <w:r>
              <w:rPr>
                <w:rFonts w:hint="eastAsia" w:ascii="宋体" w:hAnsi="宋体" w:eastAsia="宋体" w:cs="宋体"/>
                <w:spacing w:val="-6"/>
                <w:sz w:val="24"/>
                <w:szCs w:val="24"/>
              </w:rPr>
              <w:t>4人员基本要求总监理工程师资历要求得15分，每增加1条符合招标文件要求的个人监理业绩加2.5分，最高加5.0分。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8" w:hRule="atLeast"/>
          <w:jc w:val="center"/>
        </w:trPr>
        <w:tc>
          <w:tcPr>
            <w:tcW w:w="735"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2.2.4（3）</w:t>
            </w:r>
          </w:p>
        </w:tc>
        <w:tc>
          <w:tcPr>
            <w:tcW w:w="621"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评标价</w:t>
            </w:r>
          </w:p>
        </w:tc>
        <w:tc>
          <w:tcPr>
            <w:tcW w:w="1049"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10</w:t>
            </w:r>
            <w:r>
              <w:rPr>
                <w:rFonts w:hint="eastAsia" w:ascii="宋体" w:hAnsi="宋体" w:eastAsia="宋体" w:cs="宋体"/>
                <w:sz w:val="24"/>
                <w:szCs w:val="24"/>
              </w:rPr>
              <w:t>分</w:t>
            </w:r>
          </w:p>
        </w:tc>
        <w:tc>
          <w:tcPr>
            <w:tcW w:w="6581" w:type="dxa"/>
            <w:gridSpan w:val="3"/>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评标价得分计算公式示例：</w:t>
            </w:r>
          </w:p>
          <w:p>
            <w:pPr>
              <w:spacing w:line="420" w:lineRule="exact"/>
              <w:rPr>
                <w:rFonts w:hint="eastAsia" w:ascii="宋体" w:hAnsi="宋体" w:eastAsia="宋体" w:cs="宋体"/>
                <w:sz w:val="24"/>
                <w:szCs w:val="24"/>
              </w:rPr>
            </w:pPr>
            <w:r>
              <w:rPr>
                <w:rFonts w:hint="eastAsia" w:ascii="宋体" w:hAnsi="宋体" w:eastAsia="宋体" w:cs="宋体"/>
                <w:sz w:val="24"/>
                <w:szCs w:val="24"/>
              </w:rPr>
              <w:t>（1）如果投标人的评标价＞评标基准价，则评标价得分=</w:t>
            </w:r>
            <w:r>
              <w:rPr>
                <w:rFonts w:hint="eastAsia" w:ascii="宋体" w:hAnsi="宋体" w:eastAsia="宋体" w:cs="宋体"/>
                <w:i/>
                <w:sz w:val="24"/>
                <w:szCs w:val="24"/>
              </w:rPr>
              <w:t>F</w:t>
            </w:r>
            <w:r>
              <w:rPr>
                <w:rFonts w:hint="eastAsia" w:ascii="宋体" w:hAnsi="宋体" w:eastAsia="宋体" w:cs="宋体"/>
                <w:sz w:val="24"/>
                <w:szCs w:val="24"/>
              </w:rPr>
              <w:t>-偏差率×100×</w:t>
            </w:r>
            <w:r>
              <w:rPr>
                <w:rFonts w:hint="eastAsia" w:ascii="宋体" w:hAnsi="宋体" w:eastAsia="宋体" w:cs="宋体"/>
                <w:i/>
                <w:sz w:val="24"/>
                <w:szCs w:val="24"/>
              </w:rPr>
              <w:t>E</w:t>
            </w:r>
            <w:r>
              <w:rPr>
                <w:rFonts w:hint="eastAsia" w:ascii="宋体" w:hAnsi="宋体" w:eastAsia="宋体" w:cs="宋体"/>
                <w:sz w:val="24"/>
                <w:szCs w:val="24"/>
                <w:vertAlign w:val="subscript"/>
              </w:rPr>
              <w:t>1</w:t>
            </w:r>
            <w:r>
              <w:rPr>
                <w:rFonts w:hint="eastAsia" w:ascii="宋体" w:hAnsi="宋体" w:eastAsia="宋体" w:cs="宋体"/>
                <w:sz w:val="24"/>
                <w:szCs w:val="24"/>
              </w:rPr>
              <w:t>；</w:t>
            </w:r>
          </w:p>
          <w:p>
            <w:pPr>
              <w:spacing w:line="420" w:lineRule="exact"/>
              <w:rPr>
                <w:rFonts w:hint="eastAsia" w:ascii="宋体" w:hAnsi="宋体" w:eastAsia="宋体" w:cs="宋体"/>
                <w:sz w:val="24"/>
                <w:szCs w:val="24"/>
              </w:rPr>
            </w:pPr>
            <w:r>
              <w:rPr>
                <w:rFonts w:hint="eastAsia" w:ascii="宋体" w:hAnsi="宋体" w:eastAsia="宋体" w:cs="宋体"/>
                <w:sz w:val="24"/>
                <w:szCs w:val="24"/>
              </w:rPr>
              <w:t>（2）如果投标人的评标价≤评标基准价，则评标价得分=</w:t>
            </w:r>
            <w:r>
              <w:rPr>
                <w:rFonts w:hint="eastAsia" w:ascii="宋体" w:hAnsi="宋体" w:eastAsia="宋体" w:cs="宋体"/>
                <w:i/>
                <w:sz w:val="24"/>
                <w:szCs w:val="24"/>
              </w:rPr>
              <w:t>F</w:t>
            </w:r>
            <w:r>
              <w:rPr>
                <w:rFonts w:hint="eastAsia" w:ascii="宋体" w:hAnsi="宋体" w:eastAsia="宋体" w:cs="宋体"/>
                <w:sz w:val="24"/>
                <w:szCs w:val="24"/>
              </w:rPr>
              <w:t>+偏差率×100×</w:t>
            </w:r>
            <w:r>
              <w:rPr>
                <w:rFonts w:hint="eastAsia" w:ascii="宋体" w:hAnsi="宋体" w:eastAsia="宋体" w:cs="宋体"/>
                <w:i/>
                <w:sz w:val="24"/>
                <w:szCs w:val="24"/>
              </w:rPr>
              <w:t>E</w:t>
            </w:r>
            <w:r>
              <w:rPr>
                <w:rFonts w:hint="eastAsia" w:ascii="宋体" w:hAnsi="宋体" w:eastAsia="宋体" w:cs="宋体"/>
                <w:sz w:val="24"/>
                <w:szCs w:val="24"/>
                <w:vertAlign w:val="subscript"/>
              </w:rPr>
              <w:t>2</w:t>
            </w:r>
            <w:r>
              <w:rPr>
                <w:rFonts w:hint="eastAsia" w:ascii="宋体" w:hAnsi="宋体" w:eastAsia="宋体" w:cs="宋体"/>
                <w:sz w:val="24"/>
                <w:szCs w:val="24"/>
              </w:rPr>
              <w:t>；</w:t>
            </w:r>
          </w:p>
          <w:p>
            <w:pPr>
              <w:spacing w:line="420" w:lineRule="exact"/>
              <w:ind w:firstLine="240" w:firstLineChars="100"/>
              <w:jc w:val="left"/>
              <w:rPr>
                <w:rFonts w:hint="eastAsia" w:ascii="宋体" w:hAnsi="宋体" w:eastAsia="宋体" w:cs="宋体"/>
                <w:sz w:val="24"/>
                <w:szCs w:val="24"/>
              </w:rPr>
            </w:pPr>
            <w:r>
              <w:rPr>
                <w:rFonts w:hint="eastAsia" w:ascii="宋体" w:hAnsi="宋体" w:eastAsia="宋体" w:cs="宋体"/>
                <w:sz w:val="24"/>
                <w:szCs w:val="24"/>
              </w:rPr>
              <w:t>其中：</w:t>
            </w:r>
            <w:r>
              <w:rPr>
                <w:rFonts w:hint="eastAsia" w:ascii="宋体" w:hAnsi="宋体" w:eastAsia="宋体" w:cs="宋体"/>
                <w:i/>
                <w:sz w:val="24"/>
                <w:szCs w:val="24"/>
              </w:rPr>
              <w:t>F</w:t>
            </w:r>
            <w:r>
              <w:rPr>
                <w:rFonts w:hint="eastAsia" w:ascii="宋体" w:hAnsi="宋体" w:eastAsia="宋体" w:cs="宋体"/>
                <w:sz w:val="24"/>
                <w:szCs w:val="24"/>
              </w:rPr>
              <w:t>是评标价所占的权重分值，</w:t>
            </w:r>
            <w:r>
              <w:rPr>
                <w:rFonts w:hint="eastAsia" w:ascii="宋体" w:hAnsi="宋体" w:eastAsia="宋体" w:cs="宋体"/>
                <w:i/>
                <w:sz w:val="24"/>
                <w:szCs w:val="24"/>
              </w:rPr>
              <w:t>E</w:t>
            </w:r>
            <w:r>
              <w:rPr>
                <w:rFonts w:hint="eastAsia" w:ascii="宋体" w:hAnsi="宋体" w:eastAsia="宋体" w:cs="宋体"/>
                <w:sz w:val="24"/>
                <w:szCs w:val="24"/>
                <w:vertAlign w:val="subscript"/>
              </w:rPr>
              <w:t>1</w:t>
            </w:r>
            <w:r>
              <w:rPr>
                <w:rFonts w:hint="eastAsia" w:ascii="宋体" w:hAnsi="宋体" w:eastAsia="宋体" w:cs="宋体"/>
                <w:sz w:val="24"/>
                <w:szCs w:val="24"/>
              </w:rPr>
              <w:t>是评标价每高于评标基准价一个百分点的扣分值；</w:t>
            </w:r>
            <w:r>
              <w:rPr>
                <w:rFonts w:hint="eastAsia" w:ascii="宋体" w:hAnsi="宋体" w:eastAsia="宋体" w:cs="宋体"/>
                <w:i/>
                <w:sz w:val="24"/>
                <w:szCs w:val="24"/>
              </w:rPr>
              <w:t>E</w:t>
            </w:r>
            <w:r>
              <w:rPr>
                <w:rFonts w:hint="eastAsia" w:ascii="宋体" w:hAnsi="宋体" w:eastAsia="宋体" w:cs="宋体"/>
                <w:sz w:val="24"/>
                <w:szCs w:val="24"/>
                <w:vertAlign w:val="subscript"/>
              </w:rPr>
              <w:t>2</w:t>
            </w:r>
            <w:r>
              <w:rPr>
                <w:rFonts w:hint="eastAsia" w:ascii="宋体" w:hAnsi="宋体" w:eastAsia="宋体" w:cs="宋体"/>
                <w:sz w:val="24"/>
                <w:szCs w:val="24"/>
              </w:rPr>
              <w:t>是评标价每低于评标基准价一个百分点的扣分值；若Di&gt;D，E=0.5；若Di&lt;D，E=0.25；若Di=D，E=0；</w:t>
            </w:r>
          </w:p>
          <w:p>
            <w:pPr>
              <w:spacing w:line="420" w:lineRule="exact"/>
              <w:rPr>
                <w:rFonts w:hint="eastAsia" w:ascii="宋体" w:hAnsi="宋体" w:eastAsia="宋体" w:cs="宋体"/>
                <w:sz w:val="24"/>
                <w:szCs w:val="24"/>
              </w:rPr>
            </w:pPr>
            <w:r>
              <w:rPr>
                <w:rFonts w:hint="eastAsia" w:ascii="宋体" w:hAnsi="宋体" w:eastAsia="宋体" w:cs="宋体"/>
                <w:sz w:val="24"/>
                <w:szCs w:val="24"/>
              </w:rPr>
              <w:t>中间值按比例内插，四舍五入，保留两位小数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3" w:hRule="atLeast"/>
          <w:jc w:val="center"/>
        </w:trPr>
        <w:tc>
          <w:tcPr>
            <w:tcW w:w="735" w:type="dxa"/>
            <w:vMerge w:val="restart"/>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2.2.4（4）</w:t>
            </w:r>
          </w:p>
        </w:tc>
        <w:tc>
          <w:tcPr>
            <w:tcW w:w="621"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业绩</w:t>
            </w:r>
          </w:p>
        </w:tc>
        <w:tc>
          <w:tcPr>
            <w:tcW w:w="1049" w:type="dxa"/>
            <w:noWrap w:val="0"/>
            <w:vAlign w:val="center"/>
          </w:tcPr>
          <w:p>
            <w:pPr>
              <w:spacing w:line="420" w:lineRule="exact"/>
              <w:jc w:val="center"/>
              <w:rPr>
                <w:rFonts w:hint="eastAsia" w:ascii="宋体" w:hAnsi="宋体" w:eastAsia="宋体" w:cs="宋体"/>
                <w:sz w:val="24"/>
                <w:szCs w:val="24"/>
                <w:u w:val="single"/>
              </w:rPr>
            </w:pPr>
            <w:r>
              <w:rPr>
                <w:rFonts w:hint="eastAsia" w:ascii="宋体" w:hAnsi="宋体" w:eastAsia="宋体" w:cs="宋体"/>
                <w:sz w:val="24"/>
                <w:szCs w:val="24"/>
                <w:u w:val="single"/>
              </w:rPr>
              <w:t>25</w:t>
            </w:r>
            <w:r>
              <w:rPr>
                <w:rFonts w:hint="eastAsia" w:ascii="宋体" w:hAnsi="宋体" w:eastAsia="宋体" w:cs="宋体"/>
                <w:sz w:val="24"/>
                <w:szCs w:val="24"/>
              </w:rPr>
              <w:t>分</w:t>
            </w:r>
          </w:p>
        </w:tc>
        <w:tc>
          <w:tcPr>
            <w:tcW w:w="6581" w:type="dxa"/>
            <w:gridSpan w:val="3"/>
            <w:noWrap w:val="0"/>
            <w:vAlign w:val="center"/>
          </w:tcPr>
          <w:p>
            <w:pPr>
              <w:spacing w:line="420" w:lineRule="exact"/>
              <w:jc w:val="left"/>
              <w:rPr>
                <w:rFonts w:hint="eastAsia" w:ascii="宋体" w:hAnsi="宋体" w:eastAsia="宋体" w:cs="宋体"/>
                <w:sz w:val="24"/>
                <w:szCs w:val="24"/>
              </w:rPr>
            </w:pPr>
            <w:r>
              <w:rPr>
                <w:rFonts w:hint="eastAsia" w:ascii="宋体" w:hAnsi="宋体" w:eastAsia="宋体" w:cs="宋体"/>
                <w:sz w:val="24"/>
                <w:szCs w:val="24"/>
              </w:rPr>
              <w:t>近五年业绩：满足本招标文件附录2业绩基本要求得15.0分，</w:t>
            </w:r>
            <w:r>
              <w:rPr>
                <w:rFonts w:hint="eastAsia" w:ascii="宋体" w:hAnsi="宋体" w:eastAsia="宋体" w:cs="宋体"/>
                <w:spacing w:val="-6"/>
                <w:sz w:val="24"/>
                <w:szCs w:val="24"/>
              </w:rPr>
              <w:t>每增加1条公路施工监理</w:t>
            </w:r>
            <w:r>
              <w:rPr>
                <w:rFonts w:hint="eastAsia" w:ascii="宋体" w:hAnsi="宋体" w:eastAsia="宋体" w:cs="宋体"/>
                <w:sz w:val="24"/>
                <w:szCs w:val="24"/>
              </w:rPr>
              <w:t>业绩加2.5分，此项最高加10.0分。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91" w:hRule="atLeast"/>
          <w:jc w:val="center"/>
        </w:trPr>
        <w:tc>
          <w:tcPr>
            <w:tcW w:w="735" w:type="dxa"/>
            <w:vMerge w:val="continue"/>
            <w:noWrap w:val="0"/>
            <w:vAlign w:val="center"/>
          </w:tcPr>
          <w:p>
            <w:pPr>
              <w:spacing w:line="420" w:lineRule="exact"/>
              <w:jc w:val="center"/>
              <w:rPr>
                <w:rFonts w:hint="eastAsia" w:ascii="宋体" w:hAnsi="宋体" w:eastAsia="宋体" w:cs="宋体"/>
                <w:sz w:val="24"/>
                <w:szCs w:val="24"/>
              </w:rPr>
            </w:pPr>
          </w:p>
        </w:tc>
        <w:tc>
          <w:tcPr>
            <w:tcW w:w="621"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履约信誉</w:t>
            </w:r>
          </w:p>
        </w:tc>
        <w:tc>
          <w:tcPr>
            <w:tcW w:w="1049" w:type="dxa"/>
            <w:noWrap w:val="0"/>
            <w:vAlign w:val="center"/>
          </w:tcPr>
          <w:p>
            <w:pPr>
              <w:spacing w:line="420" w:lineRule="exact"/>
              <w:jc w:val="center"/>
              <w:rPr>
                <w:rFonts w:hint="eastAsia" w:ascii="宋体" w:hAnsi="宋体" w:eastAsia="宋体" w:cs="宋体"/>
                <w:sz w:val="24"/>
                <w:szCs w:val="24"/>
                <w:u w:val="single"/>
              </w:rPr>
            </w:pPr>
            <w:r>
              <w:rPr>
                <w:rFonts w:hint="eastAsia" w:ascii="宋体" w:hAnsi="宋体" w:eastAsia="宋体" w:cs="宋体"/>
                <w:sz w:val="24"/>
                <w:szCs w:val="24"/>
                <w:u w:val="single"/>
              </w:rPr>
              <w:t>5</w:t>
            </w:r>
            <w:r>
              <w:rPr>
                <w:rFonts w:hint="eastAsia" w:ascii="宋体" w:hAnsi="宋体" w:eastAsia="宋体" w:cs="宋体"/>
                <w:sz w:val="24"/>
                <w:szCs w:val="24"/>
              </w:rPr>
              <w:t>分</w:t>
            </w:r>
          </w:p>
        </w:tc>
        <w:tc>
          <w:tcPr>
            <w:tcW w:w="6581" w:type="dxa"/>
            <w:gridSpan w:val="3"/>
            <w:noWrap w:val="0"/>
            <w:vAlign w:val="center"/>
          </w:tcPr>
          <w:p>
            <w:pPr>
              <w:tabs>
                <w:tab w:val="left" w:pos="1778"/>
              </w:tabs>
              <w:spacing w:line="420" w:lineRule="exact"/>
              <w:jc w:val="left"/>
              <w:rPr>
                <w:rFonts w:hint="eastAsia" w:ascii="宋体" w:hAnsi="宋体" w:eastAsia="宋体" w:cs="宋体"/>
                <w:sz w:val="24"/>
                <w:szCs w:val="24"/>
              </w:rPr>
            </w:pPr>
            <w:r>
              <w:rPr>
                <w:rFonts w:hint="eastAsia" w:ascii="宋体" w:hAnsi="宋体" w:eastAsia="宋体" w:cs="宋体"/>
                <w:sz w:val="24"/>
                <w:szCs w:val="24"/>
              </w:rPr>
              <w:t>交通运输部发布2020年度公路监理企业全国综合信用评价结果或陕西省高速公路从业企业信用评价结果评为“A级”或“A级以上”得5分，评为“B级”得4分，评为“C级”得3分。（本项如陕西省评价结果与交通运输部评价结果不同，按信用等级较高的为准） 2020年度无信用评价结果的投标人，可按2019年度信用评价结果认定。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7" w:hRule="atLeast"/>
          <w:jc w:val="center"/>
        </w:trPr>
        <w:tc>
          <w:tcPr>
            <w:tcW w:w="735"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2.2.4（5）</w:t>
            </w:r>
          </w:p>
        </w:tc>
        <w:tc>
          <w:tcPr>
            <w:tcW w:w="621"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技术能力</w:t>
            </w:r>
          </w:p>
        </w:tc>
        <w:tc>
          <w:tcPr>
            <w:tcW w:w="1049" w:type="dxa"/>
            <w:noWrap w:val="0"/>
            <w:vAlign w:val="center"/>
          </w:tcPr>
          <w:p>
            <w:pPr>
              <w:spacing w:line="420" w:lineRule="exact"/>
              <w:jc w:val="center"/>
              <w:rPr>
                <w:rFonts w:hint="eastAsia" w:ascii="宋体" w:hAnsi="宋体" w:eastAsia="宋体" w:cs="宋体"/>
                <w:sz w:val="24"/>
                <w:szCs w:val="24"/>
                <w:u w:val="single"/>
              </w:rPr>
            </w:pPr>
            <w:r>
              <w:rPr>
                <w:rFonts w:hint="eastAsia" w:ascii="宋体" w:hAnsi="宋体" w:eastAsia="宋体" w:cs="宋体"/>
                <w:sz w:val="24"/>
                <w:szCs w:val="24"/>
                <w:u w:val="single"/>
              </w:rPr>
              <w:t>5</w:t>
            </w:r>
            <w:r>
              <w:rPr>
                <w:rFonts w:hint="eastAsia" w:ascii="宋体" w:hAnsi="宋体" w:eastAsia="宋体" w:cs="宋体"/>
                <w:sz w:val="24"/>
                <w:szCs w:val="24"/>
              </w:rPr>
              <w:t>分</w:t>
            </w:r>
          </w:p>
        </w:tc>
        <w:tc>
          <w:tcPr>
            <w:tcW w:w="6581" w:type="dxa"/>
            <w:gridSpan w:val="3"/>
            <w:noWrap w:val="0"/>
            <w:vAlign w:val="center"/>
          </w:tcPr>
          <w:p>
            <w:pPr>
              <w:spacing w:line="420" w:lineRule="exact"/>
              <w:jc w:val="left"/>
              <w:rPr>
                <w:rFonts w:hint="eastAsia" w:ascii="宋体" w:hAnsi="宋体" w:eastAsia="宋体" w:cs="宋体"/>
                <w:sz w:val="24"/>
                <w:szCs w:val="24"/>
              </w:rPr>
            </w:pPr>
            <w:r>
              <w:rPr>
                <w:rFonts w:hint="eastAsia" w:ascii="宋体" w:hAnsi="宋体" w:eastAsia="宋体" w:cs="宋体"/>
                <w:spacing w:val="-8"/>
                <w:sz w:val="24"/>
                <w:szCs w:val="24"/>
              </w:rPr>
              <w:t>对本工程监理重点和难点分析及保证措施，优计4-5分，良计2-3分，一般及0-1分。</w:t>
            </w:r>
          </w:p>
        </w:tc>
      </w:tr>
    </w:tbl>
    <w:p/>
    <w:bookmarkEnd w:id="60"/>
    <w:p>
      <w:pPr>
        <w:spacing w:line="500" w:lineRule="exact"/>
        <w:rPr>
          <w:rFonts w:hint="eastAsia" w:ascii="宋体" w:hAnsi="宋体" w:eastAsia="宋体" w:cs="宋体"/>
          <w:b/>
          <w:sz w:val="24"/>
          <w:szCs w:val="24"/>
        </w:rPr>
      </w:pPr>
    </w:p>
    <w:p>
      <w:pPr>
        <w:spacing w:line="500" w:lineRule="exact"/>
        <w:rPr>
          <w:rFonts w:hint="eastAsia" w:ascii="宋体" w:hAnsi="宋体" w:eastAsia="宋体" w:cs="宋体"/>
          <w:b/>
          <w:sz w:val="24"/>
          <w:szCs w:val="24"/>
        </w:rPr>
        <w:sectPr>
          <w:pgSz w:w="11906" w:h="16838"/>
          <w:pgMar w:top="1417" w:right="1474" w:bottom="1417" w:left="1474" w:header="851" w:footer="992" w:gutter="0"/>
          <w:pgNumType w:fmt="numberInDash"/>
          <w:cols w:space="720" w:num="1"/>
          <w:docGrid w:type="lines" w:linePitch="318" w:charSpace="0"/>
        </w:sectPr>
      </w:pPr>
    </w:p>
    <w:tbl>
      <w:tblPr>
        <w:tblStyle w:val="20"/>
        <w:tblW w:w="89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5" w:hRule="atLeast"/>
          <w:jc w:val="center"/>
        </w:trPr>
        <w:tc>
          <w:tcPr>
            <w:tcW w:w="89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 xml:space="preserve">需要补充的其他内容： </w:t>
            </w:r>
          </w:p>
          <w:p>
            <w:pPr>
              <w:spacing w:line="420" w:lineRule="exact"/>
              <w:ind w:firstLine="480" w:firstLineChars="200"/>
              <w:rPr>
                <w:rFonts w:hint="eastAsia" w:ascii="宋体" w:hAnsi="宋体" w:eastAsia="宋体" w:cs="宋体"/>
                <w:spacing w:val="-8"/>
                <w:sz w:val="24"/>
                <w:szCs w:val="24"/>
              </w:rPr>
            </w:pPr>
            <w:r>
              <w:rPr>
                <w:rFonts w:hint="eastAsia" w:ascii="宋体" w:hAnsi="宋体" w:eastAsia="宋体" w:cs="宋体"/>
                <w:sz w:val="24"/>
                <w:szCs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spacing w:line="500" w:lineRule="exact"/>
        <w:rPr>
          <w:rFonts w:hint="eastAsia" w:ascii="宋体" w:hAnsi="宋体" w:eastAsia="宋体" w:cs="宋体"/>
          <w:b/>
          <w:sz w:val="24"/>
          <w:szCs w:val="24"/>
        </w:rPr>
      </w:pPr>
      <w:r>
        <w:rPr>
          <w:rFonts w:hint="eastAsia" w:ascii="宋体" w:hAnsi="宋体" w:eastAsia="宋体" w:cs="宋体"/>
          <w:b/>
          <w:sz w:val="24"/>
          <w:szCs w:val="24"/>
        </w:rPr>
        <w:t>1. 评标方法</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bookmarkStart w:id="68" w:name="_Toc237332757"/>
      <w:r>
        <w:rPr>
          <w:rFonts w:hint="eastAsia" w:ascii="宋体" w:hAnsi="宋体" w:eastAsia="宋体" w:cs="宋体"/>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成本的除外。综合评分相等时，评标委员会应按照评标办法前附表规定的优先次序推进中标候选人或确定中标人。</w:t>
      </w:r>
    </w:p>
    <w:p>
      <w:pPr>
        <w:pageBreakBefore w:val="0"/>
        <w:kinsoku/>
        <w:wordWrap/>
        <w:overflowPunct/>
        <w:autoSpaceDE/>
        <w:autoSpaceDN/>
        <w:bidi w:val="0"/>
        <w:snapToGrid/>
        <w:spacing w:line="420" w:lineRule="exact"/>
        <w:textAlignment w:val="auto"/>
        <w:rPr>
          <w:rFonts w:hint="eastAsia" w:ascii="宋体" w:hAnsi="宋体" w:eastAsia="宋体" w:cs="宋体"/>
          <w:b/>
          <w:sz w:val="24"/>
          <w:szCs w:val="24"/>
        </w:rPr>
      </w:pPr>
      <w:r>
        <w:rPr>
          <w:rFonts w:hint="eastAsia" w:ascii="宋体" w:hAnsi="宋体" w:eastAsia="宋体" w:cs="宋体"/>
          <w:b/>
          <w:sz w:val="24"/>
          <w:szCs w:val="24"/>
        </w:rPr>
        <w:t>2. 评审标准</w:t>
      </w:r>
      <w:bookmarkEnd w:id="68"/>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2.1 初步评审标准</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 形式评审标准：见评标办法前附表。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 资格评审标准：见评标办法前附表。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2.1.3 响应性评审标准：见评标办法前附表。</w:t>
      </w:r>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2.2 分值构成与评分标准</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分值构成</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（1）技术建议书：见评标办法前附表；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（2）主要人员：见评标办法前附表；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（3）评标价：见评标办法前附表；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（4）其他评分因素：见评标办法前附表。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2.2.2 评标基准价计算</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评标基准价计算方法：见评标办法前附表。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评标价的偏差率计算</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评标价的偏差率计算公式：见评标办法前附表。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2.2.4 评分标准</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bookmarkStart w:id="69" w:name="_Toc237332758"/>
      <w:r>
        <w:rPr>
          <w:rFonts w:hint="eastAsia" w:ascii="宋体" w:hAnsi="宋体" w:eastAsia="宋体" w:cs="宋体"/>
          <w:sz w:val="24"/>
          <w:szCs w:val="24"/>
        </w:rPr>
        <w:t>（1）技术建议书评分标准：见评标办法前附表；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（2）主要人员评分标准：见评标办法前附表；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（3）评标价评分标准：见评标办法前附表；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（4）其他因素评分标准：见评标办法前附表。</w:t>
      </w:r>
    </w:p>
    <w:p>
      <w:pPr>
        <w:pageBreakBefore w:val="0"/>
        <w:kinsoku/>
        <w:wordWrap/>
        <w:overflowPunct/>
        <w:autoSpaceDE/>
        <w:autoSpaceDN/>
        <w:bidi w:val="0"/>
        <w:snapToGrid/>
        <w:spacing w:line="420" w:lineRule="exact"/>
        <w:textAlignment w:val="auto"/>
        <w:rPr>
          <w:rFonts w:hint="eastAsia" w:ascii="宋体" w:hAnsi="宋体" w:eastAsia="宋体" w:cs="宋体"/>
          <w:b/>
          <w:sz w:val="24"/>
          <w:szCs w:val="24"/>
        </w:rPr>
      </w:pPr>
      <w:r>
        <w:rPr>
          <w:rFonts w:hint="eastAsia" w:ascii="宋体" w:hAnsi="宋体" w:eastAsia="宋体" w:cs="宋体"/>
          <w:b/>
          <w:sz w:val="24"/>
          <w:szCs w:val="24"/>
        </w:rPr>
        <w:t>3. 评标程序</w:t>
      </w:r>
      <w:bookmarkEnd w:id="69"/>
    </w:p>
    <w:p>
      <w:pPr>
        <w:pageBreakBefore w:val="0"/>
        <w:kinsoku/>
        <w:wordWrap/>
        <w:overflowPunct/>
        <w:autoSpaceDE/>
        <w:autoSpaceDN/>
        <w:bidi w:val="0"/>
        <w:snapToGrid/>
        <w:spacing w:line="4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3.1 第一个信封初步评审</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rPr>
        <w:t>3.1.1评标委员会可以要求投标人提交第二章“投标人须知”第3.5.1项至第3.5.5项规定的有关证明和证件的原件，以便核验。评标委员会依据本章第2.1款规定的标</w:t>
      </w:r>
      <w:r>
        <w:rPr>
          <w:rFonts w:hint="eastAsia" w:ascii="宋体" w:hAnsi="宋体" w:eastAsia="宋体" w:cs="宋体"/>
          <w:color w:val="auto"/>
          <w:sz w:val="24"/>
          <w:szCs w:val="24"/>
        </w:rPr>
        <w:t>准对投标文件第一个信封（商务及技术文件）进行初步评审。有一项不符合评审标准的，评标委员会应否决其投标。</w:t>
      </w:r>
    </w:p>
    <w:p>
      <w:pPr>
        <w:pageBreakBefore w:val="0"/>
        <w:kinsoku/>
        <w:wordWrap/>
        <w:overflowPunct/>
        <w:autoSpaceDE/>
        <w:autoSpaceDN/>
        <w:bidi w:val="0"/>
        <w:snapToGrid/>
        <w:spacing w:line="42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3.2第一个信封详细评审</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3.2.1 评标委员会按本章第2.2款规定的量化因素和分值进行打分，并计算出各投标人的商务和技术得分。</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（1）按本章第 2.2.4项（1）目规定的评审因素和分值对技术建议书部分计算出得分 A；</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（2）按本章第 2.2.4项（2）目规定的评审因素和分值对主要人员部分计算出得分 B；</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（4）按本章第 2.2.4项（4）目规定的评审因素和分值对其他部分计算出得分 D。</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3.2.2 投标人的商务和技术得分分值计算保留小数点后两位，小数点后第三位“四舍五入”。</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3.2.3 投标人的商务和技术得分=A+B+D。</w:t>
      </w:r>
    </w:p>
    <w:p>
      <w:pPr>
        <w:pageBreakBefore w:val="0"/>
        <w:kinsoku/>
        <w:wordWrap/>
        <w:overflowPunct/>
        <w:autoSpaceDE/>
        <w:autoSpaceDN/>
        <w:bidi w:val="0"/>
        <w:snapToGrid/>
        <w:spacing w:line="42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3.3 第二个信封开标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第一个信封（商务及技术文件）评审结束后，招标人将按照第二章“投标人须知”第5.1款规定的时间和地点对通过投标文件第一个信封（商务及技术文件）评审的投标文件第二个信封（报价文件）进行开标。</w:t>
      </w:r>
    </w:p>
    <w:p>
      <w:pPr>
        <w:pageBreakBefore w:val="0"/>
        <w:kinsoku/>
        <w:wordWrap/>
        <w:overflowPunct/>
        <w:autoSpaceDE/>
        <w:autoSpaceDN/>
        <w:bidi w:val="0"/>
        <w:snapToGrid/>
        <w:spacing w:line="42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3.4 第二个信封初步评审</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3.4.1评标委员会依据本章第2.1.1项、第2.1.3项规定的评审标准对投标文件第二个信封（报价文件）进行初步评审。有一项不符合评审标准的，评标委员会应否决其投标。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3.4.2投标报价有算术错误的，评标委员会按以下原则对投标报价进行修正，修正的价格经投标人书面确认后具有约束力。投标人不接受修正价格的，评标委员会应否决其投标。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（1）投标文件中的大写金额与小写金额不一致的，以大写金额为准；</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（2）总价金额与依据单价计算出的结果不一致的，以单价金额为准修正总价，但单价金额小数点有明显错误的除外；</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（3）当单价与数量相乘不等于合价时，以单价计算为准，如果单价有明显的小数点位置差错，应以标出的合价为准，同时对单价予以修正；</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（4）当各子目的合价累计不等于总价时，应以各子目合价累计数为准，修正总价。</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3.4.3修正后的最终投标报价若超过最高投标限价（如有），评标委员会应否决其投标。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3.4.4修正后的最终投标报价仅作为签订合同的一个依据，不参与评标价得分的计算。</w:t>
      </w:r>
    </w:p>
    <w:p>
      <w:pPr>
        <w:pageBreakBefore w:val="0"/>
        <w:kinsoku/>
        <w:wordWrap/>
        <w:overflowPunct/>
        <w:autoSpaceDE/>
        <w:autoSpaceDN/>
        <w:bidi w:val="0"/>
        <w:snapToGrid/>
        <w:spacing w:line="4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3.5 第二个信封详细评审</w:t>
      </w:r>
    </w:p>
    <w:p>
      <w:pPr>
        <w:pageBreakBefore w:val="0"/>
        <w:tabs>
          <w:tab w:val="left" w:pos="1720"/>
        </w:tabs>
        <w:kinsoku/>
        <w:wordWrap/>
        <w:overflowPunct/>
        <w:topLinePunct/>
        <w:autoSpaceDE/>
        <w:autoSpaceDN/>
        <w:bidi w:val="0"/>
        <w:adjustRightInd w:val="0"/>
        <w:snapToGri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3.5.1 评标委员会按本章第2.2.4项（3）目规定的评审因素和分值对评标价计算出得分C。评标价</w:t>
      </w:r>
      <w:r>
        <w:rPr>
          <w:rFonts w:hint="eastAsia" w:ascii="宋体" w:hAnsi="宋体" w:eastAsia="宋体" w:cs="宋体"/>
          <w:kern w:val="0"/>
          <w:sz w:val="24"/>
          <w:szCs w:val="24"/>
        </w:rPr>
        <w:t>得分分值计算保留小数点后两位，小数点后第三位“四舍五入”。</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3.5.2 投标人综合得分=投标人的商务和技术得分+C。</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3.5.3 评标委员会发现投标人的报价明显低于其他投标报价，使得其投标报价可能低于其个别成本的，应当要求该投标人作出书面说明并提供相应的证明材料。投标人不能合理说明或不能提供相应证明材料的，评标委员会应认定该投标人以低于成本报价竞标，并否决其投标。</w:t>
      </w:r>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3.6 投标文件相关信息的核查</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3.6.2评标委员会应对在评标过程中发现的投标人与投标人之间、投标人与招标人之间存在串通投标的情形进行评审和认定。投标人存在串通投标、弄需作假、行贿等违法行为的，评标委员会应否决其投标。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（1）有下列情形之一的，属于投标人相互串通投标：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a.投标人之间协商投标报价等投标文件的实质性内容；</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b.投标人之间约定中标人；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c.投标人之间约定部分投标人放弃投标或中标；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d.属于同一集团、协会、商会等组织成员的投标人按照该组织要求协同投标；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e.投标人之间为谋取中标或排斥特定投标人而采取的其他联合行动。</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（2）有下列情形之一的，视为投标人相互串通投标：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a.不同投标人的投标文件由同一单位或个人编制；</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b.不同投标人委托同一单位或个人办理投标事宜；</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c.不同投标人的投标文件载明的项目管理成员为同一人；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d.不同投标人的投标文件异常一致或投标报价呈规律性差异；</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e.不同投标人的投标文件相互混装；</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f.不同投标人的投标保证金从同一单位或个人的账户转出。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（3）有下列情形之一的，属于招标人与投标人串通投标：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a.招标人在开标前开启投标文件并将有关信息泄露给其他投标人；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b.招标人直接或间接向投标人泄露标底、评标委员会成员等信息；</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c.招标人明示或暗示投标人压低或抬高投标报价；</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d.招标人授意投标人撤换、修改投标文件；</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e.招标人明示或暗示投标人为特定投标人中标提供方便；</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f.招标人与投标人为谋求特定投标人中标而采取的其他串通行为。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（4）有下列情形之一的，属于弄虚作假的行为：</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a.使用通过受让或租借等方式获取的资格、资质证书投标的;</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b.使用伪造、变造的许可证件；</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c.提供虚假的财务状况或业绩；</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d.提供虚假的项目负责人或主要技术人员简历、劳动关系证明；</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e.提供虚假的信用状况；</w:t>
      </w:r>
    </w:p>
    <w:p>
      <w:pPr>
        <w:pStyle w:val="18"/>
        <w:pageBreakBefore w:val="0"/>
        <w:kinsoku/>
        <w:wordWrap/>
        <w:overflowPunct/>
        <w:autoSpaceDE/>
        <w:autoSpaceDN/>
        <w:bidi w:val="0"/>
        <w:snapToGrid/>
        <w:spacing w:before="0" w:beforeAutospacing="0" w:after="0" w:afterAutospacing="0" w:line="4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f.其他弄虚作假的行为。</w:t>
      </w:r>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3.7投标文件的澄清和说明</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3.7.1 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3.7.2 澄清和说明不得超出投标文件的范围或改变投标文件的实质性内容（算术性错误修正的除外）。投标人的书面澄清、说明属于投标文件的组成部分。</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3.7.3 评标委员会不得暗示或诱导投标人作出澄清、说明，对投标人提交的澄清、说明有疑问的，可以要求投标人进一步澄清或说明，直至满足评标委员会的要求。</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3.7.4凡超出招标文件规定的或给委托人带来未曾要求的利益的变化、偏差或其他因素在评标时不予考虑。</w:t>
      </w:r>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3.8 不得否决投标的情形</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投标文件存在第二章“投标人须知”第1.12.3项所列情形的，均视为细微偏差，评标委员会不得否决投标人的投标，应按照第二章“投标人须知”第1.12.4项规定的原则处理。</w:t>
      </w:r>
    </w:p>
    <w:p>
      <w:pPr>
        <w:pStyle w:val="7"/>
        <w:pageBreakBefore w:val="0"/>
        <w:kinsoku/>
        <w:wordWrap/>
        <w:overflowPunct/>
        <w:autoSpaceDE/>
        <w:autoSpaceDN/>
        <w:bidi w:val="0"/>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3.9 评标结果</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3.9.1 除第二章“投标人须知”前附表授权直接确定中标人外，评标委员会按照得分由高到低的顺序推荐中标候选人，并标明排序。</w:t>
      </w:r>
    </w:p>
    <w:p>
      <w:pPr>
        <w:pageBreakBefore w:val="0"/>
        <w:kinsoku/>
        <w:wordWrap/>
        <w:overflowPunct/>
        <w:autoSpaceDE/>
        <w:autoSpaceDN/>
        <w:bidi w:val="0"/>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3.9.2 评标委员会完成评标后，应当向招标人提交书面评标报告。</w:t>
      </w:r>
    </w:p>
    <w:bookmarkEnd w:id="61"/>
    <w:bookmarkEnd w:id="62"/>
    <w:bookmarkEnd w:id="63"/>
    <w:bookmarkEnd w:id="64"/>
    <w:bookmarkEnd w:id="65"/>
    <w:bookmarkEnd w:id="66"/>
    <w:p>
      <w:pPr>
        <w:spacing w:before="10" w:line="380" w:lineRule="exact"/>
        <w:ind w:firstLine="480" w:firstLineChars="200"/>
        <w:rPr>
          <w:rFonts w:ascii="新宋体" w:hAnsi="新宋体" w:eastAsia="新宋体" w:cs="新宋体"/>
          <w:sz w:val="24"/>
        </w:rPr>
      </w:pPr>
    </w:p>
    <w:p>
      <w:pPr>
        <w:spacing w:before="10" w:line="3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3.9.2 评标委员会完成评标后，应向招标人提交书面评标报告。</w:t>
      </w:r>
      <w:bookmarkEnd w:id="67"/>
    </w:p>
    <w:p>
      <w:pPr>
        <w:pStyle w:val="17"/>
        <w:keepNext w:val="0"/>
        <w:keepLines w:val="0"/>
        <w:pageBreakBefore w:val="0"/>
        <w:widowControl/>
        <w:numPr>
          <w:ilvl w:val="0"/>
          <w:numId w:val="2"/>
        </w:numPr>
        <w:kinsoku w:val="0"/>
        <w:wordWrap/>
        <w:overflowPunct/>
        <w:topLinePunct w:val="0"/>
        <w:autoSpaceDE w:val="0"/>
        <w:autoSpaceDN w:val="0"/>
        <w:bidi w:val="0"/>
        <w:adjustRightInd w:val="0"/>
        <w:snapToGrid w:val="0"/>
        <w:spacing w:before="0" w:beforeLines="50" w:after="0" w:afterLines="50" w:line="520" w:lineRule="exact"/>
        <w:ind w:left="0" w:leftChars="0" w:firstLine="0" w:firstLineChars="0"/>
        <w:textAlignment w:val="baseline"/>
        <w:rPr>
          <w:rFonts w:hint="eastAsia" w:ascii="新宋体" w:hAnsi="新宋体" w:eastAsia="新宋体" w:cs="新宋体"/>
          <w:b/>
          <w:bCs/>
          <w:snapToGrid w:val="0"/>
          <w:color w:val="000000"/>
          <w:sz w:val="24"/>
          <w:szCs w:val="21"/>
          <w:lang w:val="en-US" w:eastAsia="zh-CN" w:bidi="ar-SA"/>
        </w:rPr>
      </w:pPr>
      <w:r>
        <w:rPr>
          <w:rFonts w:hint="eastAsia" w:ascii="新宋体" w:hAnsi="新宋体" w:eastAsia="新宋体" w:cs="新宋体"/>
          <w:b/>
          <w:bCs/>
          <w:snapToGrid w:val="0"/>
          <w:color w:val="000000"/>
          <w:sz w:val="24"/>
          <w:szCs w:val="21"/>
          <w:lang w:val="en-US" w:eastAsia="zh-CN" w:bidi="ar-SA"/>
        </w:rPr>
        <w:t>联系方式</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rPr>
      </w:pPr>
      <w:r>
        <w:rPr>
          <w:rFonts w:hint="eastAsia" w:ascii="新宋体" w:hAnsi="新宋体" w:eastAsia="新宋体" w:cs="新宋体"/>
          <w:sz w:val="24"/>
          <w:szCs w:val="24"/>
        </w:rPr>
        <w:t>招 标 人：</w:t>
      </w:r>
      <w:r>
        <w:rPr>
          <w:rFonts w:hint="eastAsia" w:ascii="新宋体" w:hAnsi="新宋体" w:eastAsia="新宋体" w:cs="新宋体"/>
          <w:sz w:val="24"/>
          <w:szCs w:val="24"/>
          <w:lang w:eastAsia="zh-CN"/>
        </w:rPr>
        <w:t>安康市公路局</w:t>
      </w:r>
      <w:r>
        <w:rPr>
          <w:rFonts w:hint="eastAsia" w:ascii="新宋体" w:hAnsi="新宋体" w:eastAsia="新宋体" w:cs="新宋体"/>
          <w:sz w:val="24"/>
          <w:szCs w:val="24"/>
        </w:rPr>
        <w:t xml:space="preserve"> </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地  址：安康市汉滨区巴山中路101号</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rPr>
        <w:t>联 系 人：</w:t>
      </w:r>
      <w:r>
        <w:rPr>
          <w:rFonts w:hint="eastAsia" w:ascii="新宋体" w:hAnsi="新宋体" w:eastAsia="新宋体" w:cs="新宋体"/>
          <w:sz w:val="24"/>
          <w:szCs w:val="24"/>
          <w:lang w:eastAsia="zh-CN"/>
        </w:rPr>
        <w:t>陈先生</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sz w:val="24"/>
          <w:szCs w:val="24"/>
        </w:rPr>
      </w:pPr>
      <w:r>
        <w:rPr>
          <w:rFonts w:hint="eastAsia" w:ascii="新宋体" w:hAnsi="新宋体" w:eastAsia="新宋体" w:cs="新宋体"/>
          <w:sz w:val="24"/>
          <w:szCs w:val="24"/>
        </w:rPr>
        <w:t xml:space="preserve">电   话：0915-3339000 </w:t>
      </w:r>
    </w:p>
    <w:sectPr>
      <w:footerReference r:id="rId3" w:type="default"/>
      <w:pgSz w:w="11906" w:h="16838"/>
      <w:pgMar w:top="1327" w:right="1689" w:bottom="132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opperplate Gothic Bold">
    <w:altName w:val="DejaVu Math TeX Gyre"/>
    <w:panose1 w:val="00000000000000000000"/>
    <w:charset w:val="00"/>
    <w:family w:val="swiss"/>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onospace">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Consolas">
    <w:altName w:val="Noto Sans Mono"/>
    <w:panose1 w:val="020B0609020204030204"/>
    <w:charset w:val="00"/>
    <w:family w:val="modern"/>
    <w:pitch w:val="default"/>
    <w:sig w:usb0="00000000" w:usb1="00000000" w:usb2="00000009" w:usb3="00000000" w:csb0="6000019F" w:csb1="DFD70000"/>
  </w:font>
  <w:font w:name="Noto Sans Mono">
    <w:panose1 w:val="020B0509040504020204"/>
    <w:charset w:val="00"/>
    <w:family w:val="auto"/>
    <w:pitch w:val="default"/>
    <w:sig w:usb0="E00002FF" w:usb1="4200FCFF" w:usb2="08000039" w:usb3="00100000" w:csb0="0000019F" w:csb1="DFD7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仿宋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47F30"/>
    <w:multiLevelType w:val="singleLevel"/>
    <w:tmpl w:val="B3547F30"/>
    <w:lvl w:ilvl="0" w:tentative="0">
      <w:start w:val="2"/>
      <w:numFmt w:val="chineseCounting"/>
      <w:suff w:val="nothing"/>
      <w:lvlText w:val="第%1章、"/>
      <w:lvlJc w:val="left"/>
      <w:rPr>
        <w:rFonts w:hint="eastAsia"/>
      </w:rPr>
    </w:lvl>
  </w:abstractNum>
  <w:abstractNum w:abstractNumId="1">
    <w:nsid w:val="ECBEEF4D"/>
    <w:multiLevelType w:val="singleLevel"/>
    <w:tmpl w:val="ECBEEF4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YWU5NDczOWE5YzI2ZTVhZWYwZmYzM2E2ODA4NjcifQ=="/>
  </w:docVars>
  <w:rsids>
    <w:rsidRoot w:val="00172A27"/>
    <w:rsid w:val="000463F6"/>
    <w:rsid w:val="00067744"/>
    <w:rsid w:val="000B5120"/>
    <w:rsid w:val="000B73DA"/>
    <w:rsid w:val="000F7794"/>
    <w:rsid w:val="0010457E"/>
    <w:rsid w:val="0012559F"/>
    <w:rsid w:val="001658A0"/>
    <w:rsid w:val="00172A27"/>
    <w:rsid w:val="00176441"/>
    <w:rsid w:val="00181C6D"/>
    <w:rsid w:val="00183C7F"/>
    <w:rsid w:val="001A6426"/>
    <w:rsid w:val="001A66E2"/>
    <w:rsid w:val="001B183D"/>
    <w:rsid w:val="001B51DD"/>
    <w:rsid w:val="001C6A58"/>
    <w:rsid w:val="001F6D2A"/>
    <w:rsid w:val="00205762"/>
    <w:rsid w:val="00206461"/>
    <w:rsid w:val="00224B9F"/>
    <w:rsid w:val="00246C88"/>
    <w:rsid w:val="0025017D"/>
    <w:rsid w:val="002526C2"/>
    <w:rsid w:val="00261D23"/>
    <w:rsid w:val="00266F5D"/>
    <w:rsid w:val="00267902"/>
    <w:rsid w:val="0027123C"/>
    <w:rsid w:val="00274D01"/>
    <w:rsid w:val="002A4310"/>
    <w:rsid w:val="002A656A"/>
    <w:rsid w:val="002B51DA"/>
    <w:rsid w:val="002D36E9"/>
    <w:rsid w:val="00300183"/>
    <w:rsid w:val="003166D7"/>
    <w:rsid w:val="00320BB4"/>
    <w:rsid w:val="00320BE2"/>
    <w:rsid w:val="00347440"/>
    <w:rsid w:val="00362B07"/>
    <w:rsid w:val="00376D93"/>
    <w:rsid w:val="003811D9"/>
    <w:rsid w:val="00383040"/>
    <w:rsid w:val="00390AAB"/>
    <w:rsid w:val="003927B1"/>
    <w:rsid w:val="00393BB6"/>
    <w:rsid w:val="00394229"/>
    <w:rsid w:val="003A38D4"/>
    <w:rsid w:val="003B0AA2"/>
    <w:rsid w:val="003B7885"/>
    <w:rsid w:val="003D6881"/>
    <w:rsid w:val="003E4F1F"/>
    <w:rsid w:val="003E624E"/>
    <w:rsid w:val="00417216"/>
    <w:rsid w:val="00433C14"/>
    <w:rsid w:val="00446279"/>
    <w:rsid w:val="00471A80"/>
    <w:rsid w:val="00497BAB"/>
    <w:rsid w:val="004C18CF"/>
    <w:rsid w:val="004E4B0F"/>
    <w:rsid w:val="004F05F9"/>
    <w:rsid w:val="00501893"/>
    <w:rsid w:val="00503198"/>
    <w:rsid w:val="00562BCC"/>
    <w:rsid w:val="00586AF9"/>
    <w:rsid w:val="005A5A0D"/>
    <w:rsid w:val="005A5BE5"/>
    <w:rsid w:val="005C0BBA"/>
    <w:rsid w:val="005C53DB"/>
    <w:rsid w:val="006174CB"/>
    <w:rsid w:val="00642467"/>
    <w:rsid w:val="00642608"/>
    <w:rsid w:val="006723B1"/>
    <w:rsid w:val="00684678"/>
    <w:rsid w:val="00691012"/>
    <w:rsid w:val="00693896"/>
    <w:rsid w:val="006A7339"/>
    <w:rsid w:val="006C54BD"/>
    <w:rsid w:val="00710987"/>
    <w:rsid w:val="007155DA"/>
    <w:rsid w:val="00785ED9"/>
    <w:rsid w:val="007A35F0"/>
    <w:rsid w:val="007C2AB5"/>
    <w:rsid w:val="007F0701"/>
    <w:rsid w:val="008020C4"/>
    <w:rsid w:val="00802898"/>
    <w:rsid w:val="008115AD"/>
    <w:rsid w:val="00813045"/>
    <w:rsid w:val="00825106"/>
    <w:rsid w:val="00842A13"/>
    <w:rsid w:val="00846B76"/>
    <w:rsid w:val="00877607"/>
    <w:rsid w:val="0089083E"/>
    <w:rsid w:val="008C7A20"/>
    <w:rsid w:val="008D0B23"/>
    <w:rsid w:val="008E75A6"/>
    <w:rsid w:val="00911F78"/>
    <w:rsid w:val="009232AD"/>
    <w:rsid w:val="009354F5"/>
    <w:rsid w:val="00942C5D"/>
    <w:rsid w:val="009609AD"/>
    <w:rsid w:val="00971237"/>
    <w:rsid w:val="009721BF"/>
    <w:rsid w:val="00972903"/>
    <w:rsid w:val="009B7114"/>
    <w:rsid w:val="00A353FF"/>
    <w:rsid w:val="00A61730"/>
    <w:rsid w:val="00A63528"/>
    <w:rsid w:val="00A86CEF"/>
    <w:rsid w:val="00AA710A"/>
    <w:rsid w:val="00AB2D94"/>
    <w:rsid w:val="00AF1328"/>
    <w:rsid w:val="00AF3A2E"/>
    <w:rsid w:val="00B12949"/>
    <w:rsid w:val="00B40B37"/>
    <w:rsid w:val="00B45F7C"/>
    <w:rsid w:val="00B569E9"/>
    <w:rsid w:val="00B70725"/>
    <w:rsid w:val="00B72A2F"/>
    <w:rsid w:val="00B91F0D"/>
    <w:rsid w:val="00BA13BC"/>
    <w:rsid w:val="00BA16D5"/>
    <w:rsid w:val="00BA77A4"/>
    <w:rsid w:val="00BB5233"/>
    <w:rsid w:val="00BC0B7B"/>
    <w:rsid w:val="00BF19D5"/>
    <w:rsid w:val="00C23DF7"/>
    <w:rsid w:val="00C65187"/>
    <w:rsid w:val="00C714B7"/>
    <w:rsid w:val="00C821B3"/>
    <w:rsid w:val="00C8351B"/>
    <w:rsid w:val="00C85C36"/>
    <w:rsid w:val="00C93943"/>
    <w:rsid w:val="00C952B3"/>
    <w:rsid w:val="00CC1CAF"/>
    <w:rsid w:val="00CF52C6"/>
    <w:rsid w:val="00D073A7"/>
    <w:rsid w:val="00D1431C"/>
    <w:rsid w:val="00D8357E"/>
    <w:rsid w:val="00D84982"/>
    <w:rsid w:val="00DF47F8"/>
    <w:rsid w:val="00E102BE"/>
    <w:rsid w:val="00E13486"/>
    <w:rsid w:val="00E353DA"/>
    <w:rsid w:val="00E41398"/>
    <w:rsid w:val="00E41910"/>
    <w:rsid w:val="00E752EB"/>
    <w:rsid w:val="00E94B76"/>
    <w:rsid w:val="00EA2D1F"/>
    <w:rsid w:val="00EA4FC7"/>
    <w:rsid w:val="00EC584F"/>
    <w:rsid w:val="00EE5088"/>
    <w:rsid w:val="00EE5745"/>
    <w:rsid w:val="00F40413"/>
    <w:rsid w:val="00FB2A35"/>
    <w:rsid w:val="00FD21A7"/>
    <w:rsid w:val="00FE1143"/>
    <w:rsid w:val="01046A7B"/>
    <w:rsid w:val="01070D3A"/>
    <w:rsid w:val="010E77C4"/>
    <w:rsid w:val="011003B9"/>
    <w:rsid w:val="01103106"/>
    <w:rsid w:val="01107811"/>
    <w:rsid w:val="011106AF"/>
    <w:rsid w:val="01115CD3"/>
    <w:rsid w:val="01154EDD"/>
    <w:rsid w:val="011F02F9"/>
    <w:rsid w:val="011F5504"/>
    <w:rsid w:val="01356916"/>
    <w:rsid w:val="013B09FE"/>
    <w:rsid w:val="013B11B1"/>
    <w:rsid w:val="013E67BC"/>
    <w:rsid w:val="014456BD"/>
    <w:rsid w:val="014F48A6"/>
    <w:rsid w:val="015F0F08"/>
    <w:rsid w:val="01603A1D"/>
    <w:rsid w:val="016B39BD"/>
    <w:rsid w:val="017531DF"/>
    <w:rsid w:val="01776A6B"/>
    <w:rsid w:val="017821ED"/>
    <w:rsid w:val="017B4C3F"/>
    <w:rsid w:val="017E30CF"/>
    <w:rsid w:val="017F4504"/>
    <w:rsid w:val="017F7A3E"/>
    <w:rsid w:val="01813D87"/>
    <w:rsid w:val="01861F8C"/>
    <w:rsid w:val="01914481"/>
    <w:rsid w:val="01955C7F"/>
    <w:rsid w:val="019D38B5"/>
    <w:rsid w:val="01A13899"/>
    <w:rsid w:val="01A2287F"/>
    <w:rsid w:val="01A96E2B"/>
    <w:rsid w:val="01AD5DF2"/>
    <w:rsid w:val="01AD6B1B"/>
    <w:rsid w:val="01B31E6B"/>
    <w:rsid w:val="01B368C8"/>
    <w:rsid w:val="01B70885"/>
    <w:rsid w:val="01C3621A"/>
    <w:rsid w:val="01D225A1"/>
    <w:rsid w:val="01D50EAD"/>
    <w:rsid w:val="01D95D40"/>
    <w:rsid w:val="01DD5FFA"/>
    <w:rsid w:val="01E27DA7"/>
    <w:rsid w:val="01E61B1B"/>
    <w:rsid w:val="01E625A7"/>
    <w:rsid w:val="01E62824"/>
    <w:rsid w:val="01EF1A37"/>
    <w:rsid w:val="01F13668"/>
    <w:rsid w:val="01F43740"/>
    <w:rsid w:val="01F6738B"/>
    <w:rsid w:val="01F81447"/>
    <w:rsid w:val="01F828CC"/>
    <w:rsid w:val="02011444"/>
    <w:rsid w:val="02101059"/>
    <w:rsid w:val="02133A1D"/>
    <w:rsid w:val="02155CCC"/>
    <w:rsid w:val="02176806"/>
    <w:rsid w:val="02260488"/>
    <w:rsid w:val="022A6CA1"/>
    <w:rsid w:val="022B09B6"/>
    <w:rsid w:val="02374B06"/>
    <w:rsid w:val="02392021"/>
    <w:rsid w:val="023A1F25"/>
    <w:rsid w:val="023E1D7E"/>
    <w:rsid w:val="023F24BD"/>
    <w:rsid w:val="0242303F"/>
    <w:rsid w:val="0246284B"/>
    <w:rsid w:val="02465928"/>
    <w:rsid w:val="024F59B4"/>
    <w:rsid w:val="02524895"/>
    <w:rsid w:val="02593BA6"/>
    <w:rsid w:val="025F14B7"/>
    <w:rsid w:val="02602478"/>
    <w:rsid w:val="02653FF9"/>
    <w:rsid w:val="026E0A28"/>
    <w:rsid w:val="026E12B8"/>
    <w:rsid w:val="026F018C"/>
    <w:rsid w:val="026F3AA4"/>
    <w:rsid w:val="02836E2C"/>
    <w:rsid w:val="028830D7"/>
    <w:rsid w:val="028A7007"/>
    <w:rsid w:val="028B4BC6"/>
    <w:rsid w:val="0291636C"/>
    <w:rsid w:val="02932273"/>
    <w:rsid w:val="029341C2"/>
    <w:rsid w:val="029504FC"/>
    <w:rsid w:val="029903C1"/>
    <w:rsid w:val="029B07B8"/>
    <w:rsid w:val="029B2FDC"/>
    <w:rsid w:val="02A41347"/>
    <w:rsid w:val="02A835EB"/>
    <w:rsid w:val="02AB7439"/>
    <w:rsid w:val="02AE5AC9"/>
    <w:rsid w:val="02B11B07"/>
    <w:rsid w:val="02B83EF4"/>
    <w:rsid w:val="02BA4D88"/>
    <w:rsid w:val="02CC020F"/>
    <w:rsid w:val="02D43F99"/>
    <w:rsid w:val="02D61131"/>
    <w:rsid w:val="02DE46D9"/>
    <w:rsid w:val="02DE49B2"/>
    <w:rsid w:val="02DE53BE"/>
    <w:rsid w:val="02E019EC"/>
    <w:rsid w:val="02E17929"/>
    <w:rsid w:val="02EE1D5F"/>
    <w:rsid w:val="02FB253A"/>
    <w:rsid w:val="03063422"/>
    <w:rsid w:val="030A7E73"/>
    <w:rsid w:val="030C0715"/>
    <w:rsid w:val="030D083F"/>
    <w:rsid w:val="03112F76"/>
    <w:rsid w:val="03197AF5"/>
    <w:rsid w:val="031E39B6"/>
    <w:rsid w:val="03206758"/>
    <w:rsid w:val="03255C97"/>
    <w:rsid w:val="03262536"/>
    <w:rsid w:val="03275B59"/>
    <w:rsid w:val="032A0B86"/>
    <w:rsid w:val="032C4917"/>
    <w:rsid w:val="033D08B3"/>
    <w:rsid w:val="03416BD6"/>
    <w:rsid w:val="034670FD"/>
    <w:rsid w:val="03477316"/>
    <w:rsid w:val="03507EDD"/>
    <w:rsid w:val="035F07F2"/>
    <w:rsid w:val="0369419B"/>
    <w:rsid w:val="0371237E"/>
    <w:rsid w:val="03722E98"/>
    <w:rsid w:val="037545C2"/>
    <w:rsid w:val="037801B3"/>
    <w:rsid w:val="037A218A"/>
    <w:rsid w:val="037E75D7"/>
    <w:rsid w:val="037F25FC"/>
    <w:rsid w:val="03863A76"/>
    <w:rsid w:val="0390402C"/>
    <w:rsid w:val="039211E8"/>
    <w:rsid w:val="03935388"/>
    <w:rsid w:val="0398470B"/>
    <w:rsid w:val="039C0E9B"/>
    <w:rsid w:val="039E61CC"/>
    <w:rsid w:val="039F60D8"/>
    <w:rsid w:val="03AF605D"/>
    <w:rsid w:val="03B46938"/>
    <w:rsid w:val="03B67710"/>
    <w:rsid w:val="03B82478"/>
    <w:rsid w:val="03B83CCB"/>
    <w:rsid w:val="03B84CAB"/>
    <w:rsid w:val="03B91E9A"/>
    <w:rsid w:val="03B96EA9"/>
    <w:rsid w:val="03C314E4"/>
    <w:rsid w:val="03C3228F"/>
    <w:rsid w:val="03C81C09"/>
    <w:rsid w:val="03C90D07"/>
    <w:rsid w:val="03D637FF"/>
    <w:rsid w:val="03DD321C"/>
    <w:rsid w:val="03DE2F30"/>
    <w:rsid w:val="03E017AA"/>
    <w:rsid w:val="03F8684F"/>
    <w:rsid w:val="03FA1A39"/>
    <w:rsid w:val="03FA5580"/>
    <w:rsid w:val="0400092C"/>
    <w:rsid w:val="040245A9"/>
    <w:rsid w:val="040E5804"/>
    <w:rsid w:val="041A4FFB"/>
    <w:rsid w:val="041D64C4"/>
    <w:rsid w:val="04271F3F"/>
    <w:rsid w:val="04364180"/>
    <w:rsid w:val="04387F63"/>
    <w:rsid w:val="043D6707"/>
    <w:rsid w:val="04410F0E"/>
    <w:rsid w:val="0443721B"/>
    <w:rsid w:val="0444104B"/>
    <w:rsid w:val="044713D2"/>
    <w:rsid w:val="04480D4B"/>
    <w:rsid w:val="0454791D"/>
    <w:rsid w:val="04575CCB"/>
    <w:rsid w:val="045A1B0C"/>
    <w:rsid w:val="045A326F"/>
    <w:rsid w:val="045F061E"/>
    <w:rsid w:val="045F7637"/>
    <w:rsid w:val="046217C3"/>
    <w:rsid w:val="04626935"/>
    <w:rsid w:val="0473096C"/>
    <w:rsid w:val="047C133D"/>
    <w:rsid w:val="048767CF"/>
    <w:rsid w:val="048941DC"/>
    <w:rsid w:val="04945913"/>
    <w:rsid w:val="049E65C4"/>
    <w:rsid w:val="04A0494A"/>
    <w:rsid w:val="04B01DBF"/>
    <w:rsid w:val="04B170C5"/>
    <w:rsid w:val="04B243BB"/>
    <w:rsid w:val="04BF1CB5"/>
    <w:rsid w:val="04C12389"/>
    <w:rsid w:val="04C2515D"/>
    <w:rsid w:val="04C40C68"/>
    <w:rsid w:val="04C63DDB"/>
    <w:rsid w:val="04C67ACE"/>
    <w:rsid w:val="04D87CAB"/>
    <w:rsid w:val="04DA4BDE"/>
    <w:rsid w:val="04ED7323"/>
    <w:rsid w:val="04F15243"/>
    <w:rsid w:val="04F33A5A"/>
    <w:rsid w:val="04F84C65"/>
    <w:rsid w:val="04FC69D4"/>
    <w:rsid w:val="04FD1ABF"/>
    <w:rsid w:val="05026160"/>
    <w:rsid w:val="0504633B"/>
    <w:rsid w:val="05066D0E"/>
    <w:rsid w:val="050F2285"/>
    <w:rsid w:val="05157166"/>
    <w:rsid w:val="05224A98"/>
    <w:rsid w:val="052349CD"/>
    <w:rsid w:val="052942B7"/>
    <w:rsid w:val="052B0C33"/>
    <w:rsid w:val="052E3BB8"/>
    <w:rsid w:val="054129CC"/>
    <w:rsid w:val="05433861"/>
    <w:rsid w:val="054F477E"/>
    <w:rsid w:val="055A17F2"/>
    <w:rsid w:val="055B3833"/>
    <w:rsid w:val="05627F16"/>
    <w:rsid w:val="0569078F"/>
    <w:rsid w:val="05717D0F"/>
    <w:rsid w:val="057559AF"/>
    <w:rsid w:val="05757FFA"/>
    <w:rsid w:val="057A0E9D"/>
    <w:rsid w:val="057A69E0"/>
    <w:rsid w:val="057B4608"/>
    <w:rsid w:val="05893F76"/>
    <w:rsid w:val="058E0144"/>
    <w:rsid w:val="05955787"/>
    <w:rsid w:val="0598777C"/>
    <w:rsid w:val="05A24EFE"/>
    <w:rsid w:val="05A56B9C"/>
    <w:rsid w:val="05B12759"/>
    <w:rsid w:val="05B13426"/>
    <w:rsid w:val="05B2575A"/>
    <w:rsid w:val="05B52A18"/>
    <w:rsid w:val="05B66F2B"/>
    <w:rsid w:val="05BB11CB"/>
    <w:rsid w:val="05BC124C"/>
    <w:rsid w:val="05C06C63"/>
    <w:rsid w:val="05C31DA2"/>
    <w:rsid w:val="05C636BA"/>
    <w:rsid w:val="05C8248C"/>
    <w:rsid w:val="05CF28C9"/>
    <w:rsid w:val="05D77224"/>
    <w:rsid w:val="05E50E16"/>
    <w:rsid w:val="05EC2B3F"/>
    <w:rsid w:val="05EE6F89"/>
    <w:rsid w:val="05F13B78"/>
    <w:rsid w:val="05F354CF"/>
    <w:rsid w:val="05FB01E2"/>
    <w:rsid w:val="0605158C"/>
    <w:rsid w:val="06080D67"/>
    <w:rsid w:val="060A4377"/>
    <w:rsid w:val="06113EF5"/>
    <w:rsid w:val="06193286"/>
    <w:rsid w:val="06196DE7"/>
    <w:rsid w:val="0622792C"/>
    <w:rsid w:val="062B3B78"/>
    <w:rsid w:val="062B7A8A"/>
    <w:rsid w:val="062C43AC"/>
    <w:rsid w:val="06335893"/>
    <w:rsid w:val="06351D3A"/>
    <w:rsid w:val="06365B4E"/>
    <w:rsid w:val="063C109E"/>
    <w:rsid w:val="06412CA8"/>
    <w:rsid w:val="0645177D"/>
    <w:rsid w:val="064707DC"/>
    <w:rsid w:val="064B0D43"/>
    <w:rsid w:val="06594D5E"/>
    <w:rsid w:val="065965B2"/>
    <w:rsid w:val="065D7A02"/>
    <w:rsid w:val="065E1E0D"/>
    <w:rsid w:val="065F6E93"/>
    <w:rsid w:val="06645FEE"/>
    <w:rsid w:val="0666172B"/>
    <w:rsid w:val="0667495C"/>
    <w:rsid w:val="066C6E03"/>
    <w:rsid w:val="067038E8"/>
    <w:rsid w:val="06712BF3"/>
    <w:rsid w:val="06726C0F"/>
    <w:rsid w:val="06776621"/>
    <w:rsid w:val="067D0EC5"/>
    <w:rsid w:val="067F73F5"/>
    <w:rsid w:val="06857B9E"/>
    <w:rsid w:val="06865A82"/>
    <w:rsid w:val="068661F6"/>
    <w:rsid w:val="0689347E"/>
    <w:rsid w:val="068B5055"/>
    <w:rsid w:val="069206BF"/>
    <w:rsid w:val="069472DA"/>
    <w:rsid w:val="069B7C74"/>
    <w:rsid w:val="06A0469F"/>
    <w:rsid w:val="06A53B74"/>
    <w:rsid w:val="06A72B51"/>
    <w:rsid w:val="06B211C5"/>
    <w:rsid w:val="06B85508"/>
    <w:rsid w:val="06BB0C22"/>
    <w:rsid w:val="06BE1EDA"/>
    <w:rsid w:val="06C54940"/>
    <w:rsid w:val="06D57F24"/>
    <w:rsid w:val="06DE43EC"/>
    <w:rsid w:val="06EB38CC"/>
    <w:rsid w:val="06F3284E"/>
    <w:rsid w:val="06FB2667"/>
    <w:rsid w:val="06FD1D7D"/>
    <w:rsid w:val="06FD2E20"/>
    <w:rsid w:val="06FF0E08"/>
    <w:rsid w:val="06FF36E8"/>
    <w:rsid w:val="07090BF3"/>
    <w:rsid w:val="070D482E"/>
    <w:rsid w:val="07163FAA"/>
    <w:rsid w:val="07210655"/>
    <w:rsid w:val="0723612E"/>
    <w:rsid w:val="07282E09"/>
    <w:rsid w:val="0733382B"/>
    <w:rsid w:val="073447EA"/>
    <w:rsid w:val="0737074B"/>
    <w:rsid w:val="073E4D67"/>
    <w:rsid w:val="073E79DA"/>
    <w:rsid w:val="07430ED6"/>
    <w:rsid w:val="074D5899"/>
    <w:rsid w:val="07504915"/>
    <w:rsid w:val="07581385"/>
    <w:rsid w:val="075B3174"/>
    <w:rsid w:val="075D669A"/>
    <w:rsid w:val="075E4035"/>
    <w:rsid w:val="07604575"/>
    <w:rsid w:val="07621332"/>
    <w:rsid w:val="076442F4"/>
    <w:rsid w:val="07672555"/>
    <w:rsid w:val="076E15D8"/>
    <w:rsid w:val="077349CD"/>
    <w:rsid w:val="077A4426"/>
    <w:rsid w:val="07823A5D"/>
    <w:rsid w:val="078B6F8D"/>
    <w:rsid w:val="07972A19"/>
    <w:rsid w:val="07997DF2"/>
    <w:rsid w:val="07A07351"/>
    <w:rsid w:val="07A24D9F"/>
    <w:rsid w:val="07A62004"/>
    <w:rsid w:val="07AA59BD"/>
    <w:rsid w:val="07AB0B19"/>
    <w:rsid w:val="07BB6150"/>
    <w:rsid w:val="07BD3F1D"/>
    <w:rsid w:val="07C95B66"/>
    <w:rsid w:val="07CF0D71"/>
    <w:rsid w:val="07D14598"/>
    <w:rsid w:val="07D24367"/>
    <w:rsid w:val="07D31F77"/>
    <w:rsid w:val="07DD3529"/>
    <w:rsid w:val="07E40840"/>
    <w:rsid w:val="07E75136"/>
    <w:rsid w:val="07E9719A"/>
    <w:rsid w:val="07F05315"/>
    <w:rsid w:val="07F258AC"/>
    <w:rsid w:val="07F41C47"/>
    <w:rsid w:val="07F91FAF"/>
    <w:rsid w:val="07FD063E"/>
    <w:rsid w:val="080125DA"/>
    <w:rsid w:val="08012CC2"/>
    <w:rsid w:val="08070DFA"/>
    <w:rsid w:val="080C721F"/>
    <w:rsid w:val="08143E14"/>
    <w:rsid w:val="081678A8"/>
    <w:rsid w:val="081D1B73"/>
    <w:rsid w:val="082642DB"/>
    <w:rsid w:val="08277E54"/>
    <w:rsid w:val="082D38CD"/>
    <w:rsid w:val="082D3A50"/>
    <w:rsid w:val="083B535A"/>
    <w:rsid w:val="083F0254"/>
    <w:rsid w:val="0840132C"/>
    <w:rsid w:val="084724A0"/>
    <w:rsid w:val="084B5552"/>
    <w:rsid w:val="08613B9C"/>
    <w:rsid w:val="08622DDD"/>
    <w:rsid w:val="087C60FE"/>
    <w:rsid w:val="087C6B3B"/>
    <w:rsid w:val="087E4E26"/>
    <w:rsid w:val="088B7236"/>
    <w:rsid w:val="088D47A5"/>
    <w:rsid w:val="088E7DF0"/>
    <w:rsid w:val="089611BA"/>
    <w:rsid w:val="089E4531"/>
    <w:rsid w:val="08A43DDD"/>
    <w:rsid w:val="08AE674A"/>
    <w:rsid w:val="08AF1FD1"/>
    <w:rsid w:val="08AF3773"/>
    <w:rsid w:val="08B42DF5"/>
    <w:rsid w:val="08B72899"/>
    <w:rsid w:val="08B7551F"/>
    <w:rsid w:val="08B776D0"/>
    <w:rsid w:val="08BA3D66"/>
    <w:rsid w:val="08BC2029"/>
    <w:rsid w:val="08BF348F"/>
    <w:rsid w:val="08CA2A7A"/>
    <w:rsid w:val="08CE6CF7"/>
    <w:rsid w:val="08D35203"/>
    <w:rsid w:val="08D61F96"/>
    <w:rsid w:val="08D65456"/>
    <w:rsid w:val="08D75702"/>
    <w:rsid w:val="08DD2346"/>
    <w:rsid w:val="08DE3C3F"/>
    <w:rsid w:val="08E57006"/>
    <w:rsid w:val="08E623AA"/>
    <w:rsid w:val="08F43CEC"/>
    <w:rsid w:val="08FC542C"/>
    <w:rsid w:val="08FD2E30"/>
    <w:rsid w:val="08FE6D54"/>
    <w:rsid w:val="09033FF5"/>
    <w:rsid w:val="090751DA"/>
    <w:rsid w:val="0910796B"/>
    <w:rsid w:val="091A6DF8"/>
    <w:rsid w:val="091D19D2"/>
    <w:rsid w:val="09265C25"/>
    <w:rsid w:val="09283670"/>
    <w:rsid w:val="092959A8"/>
    <w:rsid w:val="09296D64"/>
    <w:rsid w:val="09371B8A"/>
    <w:rsid w:val="09445664"/>
    <w:rsid w:val="0945153F"/>
    <w:rsid w:val="0947037D"/>
    <w:rsid w:val="09521248"/>
    <w:rsid w:val="09591417"/>
    <w:rsid w:val="09595430"/>
    <w:rsid w:val="096117D7"/>
    <w:rsid w:val="09635710"/>
    <w:rsid w:val="09664EE0"/>
    <w:rsid w:val="09676300"/>
    <w:rsid w:val="09735491"/>
    <w:rsid w:val="09767DE0"/>
    <w:rsid w:val="09796296"/>
    <w:rsid w:val="09944F60"/>
    <w:rsid w:val="0999659D"/>
    <w:rsid w:val="09997108"/>
    <w:rsid w:val="09A21EE9"/>
    <w:rsid w:val="09AD0DE8"/>
    <w:rsid w:val="09BB5F2A"/>
    <w:rsid w:val="09C145DE"/>
    <w:rsid w:val="09E475E3"/>
    <w:rsid w:val="09E55FF2"/>
    <w:rsid w:val="09EC6626"/>
    <w:rsid w:val="09F13EA4"/>
    <w:rsid w:val="09F14BEF"/>
    <w:rsid w:val="09F47725"/>
    <w:rsid w:val="09FB40AF"/>
    <w:rsid w:val="09FE5188"/>
    <w:rsid w:val="0A06339C"/>
    <w:rsid w:val="0A0E56BB"/>
    <w:rsid w:val="0A10567B"/>
    <w:rsid w:val="0A134775"/>
    <w:rsid w:val="0A191B26"/>
    <w:rsid w:val="0A1C57CE"/>
    <w:rsid w:val="0A227FC0"/>
    <w:rsid w:val="0A336DD7"/>
    <w:rsid w:val="0A35298C"/>
    <w:rsid w:val="0A355E5C"/>
    <w:rsid w:val="0A410249"/>
    <w:rsid w:val="0A42222A"/>
    <w:rsid w:val="0A446276"/>
    <w:rsid w:val="0A485982"/>
    <w:rsid w:val="0A4D3A59"/>
    <w:rsid w:val="0A510264"/>
    <w:rsid w:val="0A5A734B"/>
    <w:rsid w:val="0A5B50C3"/>
    <w:rsid w:val="0A5B6D4B"/>
    <w:rsid w:val="0A7255AE"/>
    <w:rsid w:val="0A7D441E"/>
    <w:rsid w:val="0A830033"/>
    <w:rsid w:val="0A8C7EA8"/>
    <w:rsid w:val="0A9A7754"/>
    <w:rsid w:val="0A9E3141"/>
    <w:rsid w:val="0AA97A87"/>
    <w:rsid w:val="0AAA30F5"/>
    <w:rsid w:val="0AB44DCB"/>
    <w:rsid w:val="0AC25D2A"/>
    <w:rsid w:val="0AC519D9"/>
    <w:rsid w:val="0AC911AA"/>
    <w:rsid w:val="0AC97ECF"/>
    <w:rsid w:val="0ACA1A4B"/>
    <w:rsid w:val="0ACE687D"/>
    <w:rsid w:val="0AD2405E"/>
    <w:rsid w:val="0AD3408C"/>
    <w:rsid w:val="0AD51E62"/>
    <w:rsid w:val="0AF6120E"/>
    <w:rsid w:val="0AF80D2F"/>
    <w:rsid w:val="0B002508"/>
    <w:rsid w:val="0B0D2E45"/>
    <w:rsid w:val="0B0F6D82"/>
    <w:rsid w:val="0B133E72"/>
    <w:rsid w:val="0B185230"/>
    <w:rsid w:val="0B1A381C"/>
    <w:rsid w:val="0B1C044F"/>
    <w:rsid w:val="0B266B9D"/>
    <w:rsid w:val="0B2C70EC"/>
    <w:rsid w:val="0B334994"/>
    <w:rsid w:val="0B3605EB"/>
    <w:rsid w:val="0B3A7E29"/>
    <w:rsid w:val="0B3B1274"/>
    <w:rsid w:val="0B44128D"/>
    <w:rsid w:val="0B44632D"/>
    <w:rsid w:val="0B573AFC"/>
    <w:rsid w:val="0B5D4169"/>
    <w:rsid w:val="0B5F3D37"/>
    <w:rsid w:val="0B611E26"/>
    <w:rsid w:val="0B655F6A"/>
    <w:rsid w:val="0B65795B"/>
    <w:rsid w:val="0B667531"/>
    <w:rsid w:val="0B67316B"/>
    <w:rsid w:val="0B6920C9"/>
    <w:rsid w:val="0B6C4562"/>
    <w:rsid w:val="0B6E713C"/>
    <w:rsid w:val="0B6F074F"/>
    <w:rsid w:val="0B7224A3"/>
    <w:rsid w:val="0B762F6A"/>
    <w:rsid w:val="0B7735DC"/>
    <w:rsid w:val="0B780846"/>
    <w:rsid w:val="0B810F3E"/>
    <w:rsid w:val="0B830DCA"/>
    <w:rsid w:val="0B832C72"/>
    <w:rsid w:val="0B8456AF"/>
    <w:rsid w:val="0B8A7BE8"/>
    <w:rsid w:val="0B8E467D"/>
    <w:rsid w:val="0B8E54D2"/>
    <w:rsid w:val="0B954BBC"/>
    <w:rsid w:val="0B9C6043"/>
    <w:rsid w:val="0BA15624"/>
    <w:rsid w:val="0BA30746"/>
    <w:rsid w:val="0BA814A4"/>
    <w:rsid w:val="0BAA3422"/>
    <w:rsid w:val="0BAB3F23"/>
    <w:rsid w:val="0BAC1142"/>
    <w:rsid w:val="0BB37A91"/>
    <w:rsid w:val="0BBE7F31"/>
    <w:rsid w:val="0BBF1AA3"/>
    <w:rsid w:val="0BC07A8C"/>
    <w:rsid w:val="0BC93F6C"/>
    <w:rsid w:val="0BCA194E"/>
    <w:rsid w:val="0BCA787B"/>
    <w:rsid w:val="0BD5484E"/>
    <w:rsid w:val="0BD84D86"/>
    <w:rsid w:val="0BD9774D"/>
    <w:rsid w:val="0BDA7F6F"/>
    <w:rsid w:val="0BDB704E"/>
    <w:rsid w:val="0BE0566C"/>
    <w:rsid w:val="0BE7242F"/>
    <w:rsid w:val="0BED59A7"/>
    <w:rsid w:val="0BF15EF8"/>
    <w:rsid w:val="0BF17399"/>
    <w:rsid w:val="0BF23CD3"/>
    <w:rsid w:val="0BF97F25"/>
    <w:rsid w:val="0BFA5447"/>
    <w:rsid w:val="0C131C29"/>
    <w:rsid w:val="0C15412A"/>
    <w:rsid w:val="0C1A3213"/>
    <w:rsid w:val="0C1F602A"/>
    <w:rsid w:val="0C2355A1"/>
    <w:rsid w:val="0C2477C5"/>
    <w:rsid w:val="0C2E6DBF"/>
    <w:rsid w:val="0C382D3A"/>
    <w:rsid w:val="0C417D5A"/>
    <w:rsid w:val="0C4424F8"/>
    <w:rsid w:val="0C45329E"/>
    <w:rsid w:val="0C4928B4"/>
    <w:rsid w:val="0C575AE4"/>
    <w:rsid w:val="0C5A7D23"/>
    <w:rsid w:val="0C5A7EA2"/>
    <w:rsid w:val="0C5C3D82"/>
    <w:rsid w:val="0C615C5E"/>
    <w:rsid w:val="0C72662F"/>
    <w:rsid w:val="0C7F402E"/>
    <w:rsid w:val="0C800521"/>
    <w:rsid w:val="0C8A032B"/>
    <w:rsid w:val="0C8C5A91"/>
    <w:rsid w:val="0C9664AD"/>
    <w:rsid w:val="0C9C23BC"/>
    <w:rsid w:val="0C9D11C1"/>
    <w:rsid w:val="0C9F522A"/>
    <w:rsid w:val="0CA80047"/>
    <w:rsid w:val="0CAC7A16"/>
    <w:rsid w:val="0CB956C0"/>
    <w:rsid w:val="0CBA18B8"/>
    <w:rsid w:val="0CBF35C4"/>
    <w:rsid w:val="0CC27A7C"/>
    <w:rsid w:val="0CC72DFA"/>
    <w:rsid w:val="0CC9149F"/>
    <w:rsid w:val="0CC920F2"/>
    <w:rsid w:val="0CCF7C66"/>
    <w:rsid w:val="0CD7506F"/>
    <w:rsid w:val="0CE451A2"/>
    <w:rsid w:val="0CE838A0"/>
    <w:rsid w:val="0CED2C7A"/>
    <w:rsid w:val="0CF91D07"/>
    <w:rsid w:val="0CFC6FCD"/>
    <w:rsid w:val="0CFF0A97"/>
    <w:rsid w:val="0D0940D4"/>
    <w:rsid w:val="0D0E3406"/>
    <w:rsid w:val="0D1113AE"/>
    <w:rsid w:val="0D143EFE"/>
    <w:rsid w:val="0D1961DF"/>
    <w:rsid w:val="0D1F642F"/>
    <w:rsid w:val="0D2C25AC"/>
    <w:rsid w:val="0D30205A"/>
    <w:rsid w:val="0D331F7B"/>
    <w:rsid w:val="0D3471FD"/>
    <w:rsid w:val="0D386406"/>
    <w:rsid w:val="0D4250D1"/>
    <w:rsid w:val="0D432A8E"/>
    <w:rsid w:val="0D447580"/>
    <w:rsid w:val="0D471A80"/>
    <w:rsid w:val="0D472184"/>
    <w:rsid w:val="0D4A528F"/>
    <w:rsid w:val="0D4F4C89"/>
    <w:rsid w:val="0D505C3A"/>
    <w:rsid w:val="0D550B2C"/>
    <w:rsid w:val="0D555A89"/>
    <w:rsid w:val="0D574A4D"/>
    <w:rsid w:val="0D5D2AAC"/>
    <w:rsid w:val="0D5E716A"/>
    <w:rsid w:val="0D77332A"/>
    <w:rsid w:val="0D833222"/>
    <w:rsid w:val="0D8458C4"/>
    <w:rsid w:val="0D8B77C4"/>
    <w:rsid w:val="0D8D2403"/>
    <w:rsid w:val="0D920324"/>
    <w:rsid w:val="0DAC707D"/>
    <w:rsid w:val="0DAD12FE"/>
    <w:rsid w:val="0DB851C5"/>
    <w:rsid w:val="0DBB0313"/>
    <w:rsid w:val="0DBC4460"/>
    <w:rsid w:val="0DBC4F08"/>
    <w:rsid w:val="0DBE1B27"/>
    <w:rsid w:val="0DC37610"/>
    <w:rsid w:val="0DCB260B"/>
    <w:rsid w:val="0DD06EFB"/>
    <w:rsid w:val="0DD33510"/>
    <w:rsid w:val="0DD343DE"/>
    <w:rsid w:val="0DD621C2"/>
    <w:rsid w:val="0DD7692D"/>
    <w:rsid w:val="0DD80443"/>
    <w:rsid w:val="0DD93C28"/>
    <w:rsid w:val="0DDA2765"/>
    <w:rsid w:val="0DDC209B"/>
    <w:rsid w:val="0DE730FF"/>
    <w:rsid w:val="0DEB15B5"/>
    <w:rsid w:val="0DF44EF4"/>
    <w:rsid w:val="0DFC53FB"/>
    <w:rsid w:val="0E064F93"/>
    <w:rsid w:val="0E0B6329"/>
    <w:rsid w:val="0E0E7B10"/>
    <w:rsid w:val="0E1065BB"/>
    <w:rsid w:val="0E113AE0"/>
    <w:rsid w:val="0E161CAF"/>
    <w:rsid w:val="0E2C30E8"/>
    <w:rsid w:val="0E3361F8"/>
    <w:rsid w:val="0E3F33D0"/>
    <w:rsid w:val="0E4E2B4C"/>
    <w:rsid w:val="0E556D24"/>
    <w:rsid w:val="0E6301C3"/>
    <w:rsid w:val="0E63087E"/>
    <w:rsid w:val="0E6E7BD4"/>
    <w:rsid w:val="0E70297A"/>
    <w:rsid w:val="0E8572C5"/>
    <w:rsid w:val="0E8D18FB"/>
    <w:rsid w:val="0E8D3498"/>
    <w:rsid w:val="0E8E3FD4"/>
    <w:rsid w:val="0E9170F9"/>
    <w:rsid w:val="0E920058"/>
    <w:rsid w:val="0E92079D"/>
    <w:rsid w:val="0E9E2A6D"/>
    <w:rsid w:val="0E9E70EB"/>
    <w:rsid w:val="0E9F10BF"/>
    <w:rsid w:val="0EA72407"/>
    <w:rsid w:val="0EAD1656"/>
    <w:rsid w:val="0EB150D5"/>
    <w:rsid w:val="0EC33AFB"/>
    <w:rsid w:val="0EC369BA"/>
    <w:rsid w:val="0EC56EB9"/>
    <w:rsid w:val="0ED64472"/>
    <w:rsid w:val="0EE4391C"/>
    <w:rsid w:val="0EE554DF"/>
    <w:rsid w:val="0EE828A6"/>
    <w:rsid w:val="0EEA5FAA"/>
    <w:rsid w:val="0EED16F9"/>
    <w:rsid w:val="0EEE2C8F"/>
    <w:rsid w:val="0EF1361F"/>
    <w:rsid w:val="0EF56D96"/>
    <w:rsid w:val="0EF86F62"/>
    <w:rsid w:val="0EFD49A7"/>
    <w:rsid w:val="0F0202E2"/>
    <w:rsid w:val="0F055574"/>
    <w:rsid w:val="0F081F20"/>
    <w:rsid w:val="0F0D578A"/>
    <w:rsid w:val="0F10201C"/>
    <w:rsid w:val="0F132C2E"/>
    <w:rsid w:val="0F184C91"/>
    <w:rsid w:val="0F1A4037"/>
    <w:rsid w:val="0F1B4007"/>
    <w:rsid w:val="0F2805A3"/>
    <w:rsid w:val="0F2824BD"/>
    <w:rsid w:val="0F2C6CF6"/>
    <w:rsid w:val="0F2D2052"/>
    <w:rsid w:val="0F2E7ED9"/>
    <w:rsid w:val="0F315C4A"/>
    <w:rsid w:val="0F331C13"/>
    <w:rsid w:val="0F351E45"/>
    <w:rsid w:val="0F3D37E9"/>
    <w:rsid w:val="0F3F1609"/>
    <w:rsid w:val="0F3F5F11"/>
    <w:rsid w:val="0F450DE3"/>
    <w:rsid w:val="0F461572"/>
    <w:rsid w:val="0F471C22"/>
    <w:rsid w:val="0F476B79"/>
    <w:rsid w:val="0F4B34EB"/>
    <w:rsid w:val="0F4C3BC2"/>
    <w:rsid w:val="0F4E6399"/>
    <w:rsid w:val="0F503AA9"/>
    <w:rsid w:val="0F541D49"/>
    <w:rsid w:val="0F5A2F4B"/>
    <w:rsid w:val="0F673852"/>
    <w:rsid w:val="0F684A28"/>
    <w:rsid w:val="0F6B2692"/>
    <w:rsid w:val="0F6D0D47"/>
    <w:rsid w:val="0F6F4C09"/>
    <w:rsid w:val="0F716670"/>
    <w:rsid w:val="0F767B47"/>
    <w:rsid w:val="0F7C2F1F"/>
    <w:rsid w:val="0F7D3707"/>
    <w:rsid w:val="0F814F24"/>
    <w:rsid w:val="0F822D33"/>
    <w:rsid w:val="0F8E7F6E"/>
    <w:rsid w:val="0F951FFD"/>
    <w:rsid w:val="0F9A7F8F"/>
    <w:rsid w:val="0F9F6489"/>
    <w:rsid w:val="0FA06D4F"/>
    <w:rsid w:val="0FA10228"/>
    <w:rsid w:val="0FA62C25"/>
    <w:rsid w:val="0FAA02EE"/>
    <w:rsid w:val="0FAD26E5"/>
    <w:rsid w:val="0FBC7C89"/>
    <w:rsid w:val="0FC41C5F"/>
    <w:rsid w:val="0FC973CE"/>
    <w:rsid w:val="0FCA1659"/>
    <w:rsid w:val="0FCD0769"/>
    <w:rsid w:val="0FCD6D70"/>
    <w:rsid w:val="0FD05B4E"/>
    <w:rsid w:val="0FD45BFA"/>
    <w:rsid w:val="0FE46B29"/>
    <w:rsid w:val="0FEC6C99"/>
    <w:rsid w:val="0FEF7EAD"/>
    <w:rsid w:val="0FF70608"/>
    <w:rsid w:val="0FF90017"/>
    <w:rsid w:val="10047D52"/>
    <w:rsid w:val="100943C9"/>
    <w:rsid w:val="1014576B"/>
    <w:rsid w:val="101B0A99"/>
    <w:rsid w:val="101C465A"/>
    <w:rsid w:val="101D60F5"/>
    <w:rsid w:val="10241C31"/>
    <w:rsid w:val="1025792D"/>
    <w:rsid w:val="10293A2C"/>
    <w:rsid w:val="1037190B"/>
    <w:rsid w:val="1038419A"/>
    <w:rsid w:val="10394EC6"/>
    <w:rsid w:val="10405F01"/>
    <w:rsid w:val="1041001D"/>
    <w:rsid w:val="1043693A"/>
    <w:rsid w:val="10442CD3"/>
    <w:rsid w:val="10443125"/>
    <w:rsid w:val="10460904"/>
    <w:rsid w:val="10481885"/>
    <w:rsid w:val="104B76AD"/>
    <w:rsid w:val="105364DC"/>
    <w:rsid w:val="105532C6"/>
    <w:rsid w:val="105A4A76"/>
    <w:rsid w:val="10676C37"/>
    <w:rsid w:val="106775E6"/>
    <w:rsid w:val="1076115B"/>
    <w:rsid w:val="10780B94"/>
    <w:rsid w:val="107A0366"/>
    <w:rsid w:val="107E7E9B"/>
    <w:rsid w:val="1095342E"/>
    <w:rsid w:val="109C4565"/>
    <w:rsid w:val="109E1A17"/>
    <w:rsid w:val="109F55A2"/>
    <w:rsid w:val="10A433F6"/>
    <w:rsid w:val="10A841F4"/>
    <w:rsid w:val="10BB3EDC"/>
    <w:rsid w:val="10BE7687"/>
    <w:rsid w:val="10C0344A"/>
    <w:rsid w:val="10C105EC"/>
    <w:rsid w:val="10C47765"/>
    <w:rsid w:val="10D5378B"/>
    <w:rsid w:val="10D77F00"/>
    <w:rsid w:val="10D808E5"/>
    <w:rsid w:val="10DE3574"/>
    <w:rsid w:val="10DF092A"/>
    <w:rsid w:val="10E306B9"/>
    <w:rsid w:val="10E34387"/>
    <w:rsid w:val="10EA7D30"/>
    <w:rsid w:val="10EB6532"/>
    <w:rsid w:val="10F43331"/>
    <w:rsid w:val="10FD7101"/>
    <w:rsid w:val="11051149"/>
    <w:rsid w:val="11067819"/>
    <w:rsid w:val="110F618C"/>
    <w:rsid w:val="11154CB0"/>
    <w:rsid w:val="11185797"/>
    <w:rsid w:val="112465A3"/>
    <w:rsid w:val="11252589"/>
    <w:rsid w:val="112D70EA"/>
    <w:rsid w:val="1133428D"/>
    <w:rsid w:val="11371889"/>
    <w:rsid w:val="11384360"/>
    <w:rsid w:val="113B3208"/>
    <w:rsid w:val="113C726C"/>
    <w:rsid w:val="11401050"/>
    <w:rsid w:val="114157F8"/>
    <w:rsid w:val="11444859"/>
    <w:rsid w:val="11454A7A"/>
    <w:rsid w:val="11454B65"/>
    <w:rsid w:val="114764B1"/>
    <w:rsid w:val="11485F6B"/>
    <w:rsid w:val="114A690F"/>
    <w:rsid w:val="114A7A6C"/>
    <w:rsid w:val="114C1747"/>
    <w:rsid w:val="115C4D8B"/>
    <w:rsid w:val="11766E35"/>
    <w:rsid w:val="117A0B35"/>
    <w:rsid w:val="117B7651"/>
    <w:rsid w:val="117D35B2"/>
    <w:rsid w:val="11801BAE"/>
    <w:rsid w:val="118D5B98"/>
    <w:rsid w:val="11955482"/>
    <w:rsid w:val="119D1273"/>
    <w:rsid w:val="11A1700C"/>
    <w:rsid w:val="11C76038"/>
    <w:rsid w:val="11CB5A33"/>
    <w:rsid w:val="11CE569D"/>
    <w:rsid w:val="11CE6861"/>
    <w:rsid w:val="11D01937"/>
    <w:rsid w:val="11D43080"/>
    <w:rsid w:val="11D4616C"/>
    <w:rsid w:val="11D469AE"/>
    <w:rsid w:val="11D60ECE"/>
    <w:rsid w:val="11D65D2A"/>
    <w:rsid w:val="11DD4AD6"/>
    <w:rsid w:val="11E537DC"/>
    <w:rsid w:val="11EA1373"/>
    <w:rsid w:val="11ED6788"/>
    <w:rsid w:val="11EF0997"/>
    <w:rsid w:val="11FC50FC"/>
    <w:rsid w:val="12063136"/>
    <w:rsid w:val="120F2D60"/>
    <w:rsid w:val="120F408D"/>
    <w:rsid w:val="122134F9"/>
    <w:rsid w:val="122255FE"/>
    <w:rsid w:val="12343E24"/>
    <w:rsid w:val="123835BC"/>
    <w:rsid w:val="1238755F"/>
    <w:rsid w:val="12453A8A"/>
    <w:rsid w:val="124545ED"/>
    <w:rsid w:val="12485A41"/>
    <w:rsid w:val="124B0FCA"/>
    <w:rsid w:val="124D0150"/>
    <w:rsid w:val="1255274F"/>
    <w:rsid w:val="12646306"/>
    <w:rsid w:val="126516B7"/>
    <w:rsid w:val="1265618A"/>
    <w:rsid w:val="12665110"/>
    <w:rsid w:val="12673847"/>
    <w:rsid w:val="126A5144"/>
    <w:rsid w:val="126D7481"/>
    <w:rsid w:val="126D7EA1"/>
    <w:rsid w:val="12781F60"/>
    <w:rsid w:val="127A3C93"/>
    <w:rsid w:val="127B3330"/>
    <w:rsid w:val="128077B9"/>
    <w:rsid w:val="128671A6"/>
    <w:rsid w:val="1288409B"/>
    <w:rsid w:val="12887F77"/>
    <w:rsid w:val="129040A0"/>
    <w:rsid w:val="12995339"/>
    <w:rsid w:val="129C3E02"/>
    <w:rsid w:val="12A71CE2"/>
    <w:rsid w:val="12A84C29"/>
    <w:rsid w:val="12AA12A1"/>
    <w:rsid w:val="12AC6DA5"/>
    <w:rsid w:val="12B75A50"/>
    <w:rsid w:val="12BE77F0"/>
    <w:rsid w:val="12C47D0B"/>
    <w:rsid w:val="12C909E1"/>
    <w:rsid w:val="12D44395"/>
    <w:rsid w:val="12DA4C8F"/>
    <w:rsid w:val="12E54A8E"/>
    <w:rsid w:val="12E749C0"/>
    <w:rsid w:val="12EF7290"/>
    <w:rsid w:val="12F22920"/>
    <w:rsid w:val="12F455B2"/>
    <w:rsid w:val="12FA6F21"/>
    <w:rsid w:val="12FD7F06"/>
    <w:rsid w:val="13022689"/>
    <w:rsid w:val="131E2341"/>
    <w:rsid w:val="13362FDB"/>
    <w:rsid w:val="133B2DB9"/>
    <w:rsid w:val="133D604A"/>
    <w:rsid w:val="133D70C5"/>
    <w:rsid w:val="13403917"/>
    <w:rsid w:val="1342656F"/>
    <w:rsid w:val="134E4157"/>
    <w:rsid w:val="135B5261"/>
    <w:rsid w:val="13606559"/>
    <w:rsid w:val="13631BA6"/>
    <w:rsid w:val="13672764"/>
    <w:rsid w:val="13725B23"/>
    <w:rsid w:val="1373533C"/>
    <w:rsid w:val="1373797F"/>
    <w:rsid w:val="13793A71"/>
    <w:rsid w:val="137B55C3"/>
    <w:rsid w:val="137C38D6"/>
    <w:rsid w:val="137D19FB"/>
    <w:rsid w:val="138410AD"/>
    <w:rsid w:val="138A018B"/>
    <w:rsid w:val="138F21AC"/>
    <w:rsid w:val="13906957"/>
    <w:rsid w:val="139657B7"/>
    <w:rsid w:val="13994B06"/>
    <w:rsid w:val="139F124F"/>
    <w:rsid w:val="13A70FA6"/>
    <w:rsid w:val="13AD7662"/>
    <w:rsid w:val="13AE5D11"/>
    <w:rsid w:val="13B41CC3"/>
    <w:rsid w:val="13B7271A"/>
    <w:rsid w:val="13B9226B"/>
    <w:rsid w:val="13C0694E"/>
    <w:rsid w:val="13C26844"/>
    <w:rsid w:val="13CF2DBC"/>
    <w:rsid w:val="13DC58E2"/>
    <w:rsid w:val="13E00A78"/>
    <w:rsid w:val="13E2016C"/>
    <w:rsid w:val="13E20301"/>
    <w:rsid w:val="13E6069D"/>
    <w:rsid w:val="13E64DE1"/>
    <w:rsid w:val="13E80229"/>
    <w:rsid w:val="13ED1A3D"/>
    <w:rsid w:val="13ED7800"/>
    <w:rsid w:val="13EF5C30"/>
    <w:rsid w:val="13F016A6"/>
    <w:rsid w:val="13F23287"/>
    <w:rsid w:val="13F734C2"/>
    <w:rsid w:val="14097A5C"/>
    <w:rsid w:val="140D4A4D"/>
    <w:rsid w:val="1418443F"/>
    <w:rsid w:val="14190CF8"/>
    <w:rsid w:val="141B0177"/>
    <w:rsid w:val="1422671B"/>
    <w:rsid w:val="142874CF"/>
    <w:rsid w:val="14374AFC"/>
    <w:rsid w:val="14385E0D"/>
    <w:rsid w:val="143A0A69"/>
    <w:rsid w:val="144113AF"/>
    <w:rsid w:val="144651F3"/>
    <w:rsid w:val="144844BD"/>
    <w:rsid w:val="144A3F38"/>
    <w:rsid w:val="144C513C"/>
    <w:rsid w:val="14571592"/>
    <w:rsid w:val="14576EEE"/>
    <w:rsid w:val="145B14DC"/>
    <w:rsid w:val="145B5295"/>
    <w:rsid w:val="145E1D07"/>
    <w:rsid w:val="14632D00"/>
    <w:rsid w:val="14656EED"/>
    <w:rsid w:val="146905E6"/>
    <w:rsid w:val="147027CC"/>
    <w:rsid w:val="148000B2"/>
    <w:rsid w:val="1486599E"/>
    <w:rsid w:val="148F0B78"/>
    <w:rsid w:val="1490436E"/>
    <w:rsid w:val="149348C5"/>
    <w:rsid w:val="14936510"/>
    <w:rsid w:val="14982561"/>
    <w:rsid w:val="149B5C53"/>
    <w:rsid w:val="14AC5934"/>
    <w:rsid w:val="14AF394C"/>
    <w:rsid w:val="14B02BB8"/>
    <w:rsid w:val="14B4262B"/>
    <w:rsid w:val="14B46692"/>
    <w:rsid w:val="14BB5556"/>
    <w:rsid w:val="14C2296C"/>
    <w:rsid w:val="14C2314B"/>
    <w:rsid w:val="14C637B1"/>
    <w:rsid w:val="14D8446B"/>
    <w:rsid w:val="14E1236D"/>
    <w:rsid w:val="14E3712D"/>
    <w:rsid w:val="14E6520E"/>
    <w:rsid w:val="14EC065E"/>
    <w:rsid w:val="14ED000F"/>
    <w:rsid w:val="14F144C9"/>
    <w:rsid w:val="14F30427"/>
    <w:rsid w:val="14F554AF"/>
    <w:rsid w:val="14F61C22"/>
    <w:rsid w:val="14F926D8"/>
    <w:rsid w:val="14FC3406"/>
    <w:rsid w:val="14FC7AA6"/>
    <w:rsid w:val="15091456"/>
    <w:rsid w:val="15180F53"/>
    <w:rsid w:val="1521198B"/>
    <w:rsid w:val="152445AB"/>
    <w:rsid w:val="15277C62"/>
    <w:rsid w:val="1534737F"/>
    <w:rsid w:val="15396145"/>
    <w:rsid w:val="15425029"/>
    <w:rsid w:val="15445871"/>
    <w:rsid w:val="15487DF1"/>
    <w:rsid w:val="15493DB7"/>
    <w:rsid w:val="154C0426"/>
    <w:rsid w:val="15501682"/>
    <w:rsid w:val="155F7086"/>
    <w:rsid w:val="15693F6F"/>
    <w:rsid w:val="156A244D"/>
    <w:rsid w:val="156B21DC"/>
    <w:rsid w:val="15741544"/>
    <w:rsid w:val="15754827"/>
    <w:rsid w:val="15794A47"/>
    <w:rsid w:val="157A2AFA"/>
    <w:rsid w:val="157D0B12"/>
    <w:rsid w:val="157E2EF8"/>
    <w:rsid w:val="157F21D3"/>
    <w:rsid w:val="15816BF9"/>
    <w:rsid w:val="15873F3D"/>
    <w:rsid w:val="159256B4"/>
    <w:rsid w:val="159851FF"/>
    <w:rsid w:val="159E14F3"/>
    <w:rsid w:val="159E5D9B"/>
    <w:rsid w:val="15AC3566"/>
    <w:rsid w:val="15B02056"/>
    <w:rsid w:val="15B405ED"/>
    <w:rsid w:val="15B5279C"/>
    <w:rsid w:val="15B641F1"/>
    <w:rsid w:val="15B64A7D"/>
    <w:rsid w:val="15BC3411"/>
    <w:rsid w:val="15D106D3"/>
    <w:rsid w:val="15D45724"/>
    <w:rsid w:val="15D802EA"/>
    <w:rsid w:val="15DF21AA"/>
    <w:rsid w:val="15E14DBB"/>
    <w:rsid w:val="15E22671"/>
    <w:rsid w:val="15E4226B"/>
    <w:rsid w:val="15F1005B"/>
    <w:rsid w:val="15F35D60"/>
    <w:rsid w:val="15F634D8"/>
    <w:rsid w:val="15FA2A02"/>
    <w:rsid w:val="15FA6DA8"/>
    <w:rsid w:val="15FB25B8"/>
    <w:rsid w:val="15FF4A7D"/>
    <w:rsid w:val="160D4B58"/>
    <w:rsid w:val="160F0326"/>
    <w:rsid w:val="160F5D66"/>
    <w:rsid w:val="16126CFF"/>
    <w:rsid w:val="16170D0D"/>
    <w:rsid w:val="16171399"/>
    <w:rsid w:val="161758A7"/>
    <w:rsid w:val="16203886"/>
    <w:rsid w:val="162C53CF"/>
    <w:rsid w:val="16305C43"/>
    <w:rsid w:val="163223C6"/>
    <w:rsid w:val="163506FA"/>
    <w:rsid w:val="16375BC1"/>
    <w:rsid w:val="16376A0E"/>
    <w:rsid w:val="16493C4B"/>
    <w:rsid w:val="164F7029"/>
    <w:rsid w:val="165106D9"/>
    <w:rsid w:val="1652472A"/>
    <w:rsid w:val="16566736"/>
    <w:rsid w:val="165E1AC3"/>
    <w:rsid w:val="165F0168"/>
    <w:rsid w:val="166623BC"/>
    <w:rsid w:val="166B523B"/>
    <w:rsid w:val="16727984"/>
    <w:rsid w:val="167C4ED6"/>
    <w:rsid w:val="168C3989"/>
    <w:rsid w:val="16926C04"/>
    <w:rsid w:val="16953F1A"/>
    <w:rsid w:val="169634EC"/>
    <w:rsid w:val="169917A0"/>
    <w:rsid w:val="169B68F7"/>
    <w:rsid w:val="169B6F62"/>
    <w:rsid w:val="169F4095"/>
    <w:rsid w:val="16A510C0"/>
    <w:rsid w:val="16A76CBD"/>
    <w:rsid w:val="16A92CDB"/>
    <w:rsid w:val="16A931FD"/>
    <w:rsid w:val="16AC15C1"/>
    <w:rsid w:val="16AC2C45"/>
    <w:rsid w:val="16B21E28"/>
    <w:rsid w:val="16C02EE2"/>
    <w:rsid w:val="16C624EA"/>
    <w:rsid w:val="16CE5378"/>
    <w:rsid w:val="16D00889"/>
    <w:rsid w:val="16D23FF9"/>
    <w:rsid w:val="16D51E50"/>
    <w:rsid w:val="16D746A4"/>
    <w:rsid w:val="16DF5613"/>
    <w:rsid w:val="16E049E2"/>
    <w:rsid w:val="16E946B0"/>
    <w:rsid w:val="16F2280E"/>
    <w:rsid w:val="16F3789E"/>
    <w:rsid w:val="16F56EDB"/>
    <w:rsid w:val="16FC09EA"/>
    <w:rsid w:val="17007ACD"/>
    <w:rsid w:val="170C2DE5"/>
    <w:rsid w:val="17160B9D"/>
    <w:rsid w:val="171635F4"/>
    <w:rsid w:val="171E67CD"/>
    <w:rsid w:val="172127F4"/>
    <w:rsid w:val="172E09D6"/>
    <w:rsid w:val="17303AA4"/>
    <w:rsid w:val="173D1DF2"/>
    <w:rsid w:val="1743529A"/>
    <w:rsid w:val="17476D88"/>
    <w:rsid w:val="175535C2"/>
    <w:rsid w:val="1756642C"/>
    <w:rsid w:val="17573FD8"/>
    <w:rsid w:val="175C3CE3"/>
    <w:rsid w:val="176207E1"/>
    <w:rsid w:val="17641D78"/>
    <w:rsid w:val="176420BA"/>
    <w:rsid w:val="17692764"/>
    <w:rsid w:val="17743AA8"/>
    <w:rsid w:val="17752796"/>
    <w:rsid w:val="177614A2"/>
    <w:rsid w:val="17792EE7"/>
    <w:rsid w:val="177D208F"/>
    <w:rsid w:val="17802C1E"/>
    <w:rsid w:val="1783284E"/>
    <w:rsid w:val="17837E73"/>
    <w:rsid w:val="178564BB"/>
    <w:rsid w:val="178814DC"/>
    <w:rsid w:val="179269E1"/>
    <w:rsid w:val="17930E0C"/>
    <w:rsid w:val="179509DD"/>
    <w:rsid w:val="179674F9"/>
    <w:rsid w:val="17A17234"/>
    <w:rsid w:val="17A76EF2"/>
    <w:rsid w:val="17AE1CC6"/>
    <w:rsid w:val="17AF011D"/>
    <w:rsid w:val="17AF42BB"/>
    <w:rsid w:val="17B37B3A"/>
    <w:rsid w:val="17BD1E65"/>
    <w:rsid w:val="17C03FFA"/>
    <w:rsid w:val="17C204DE"/>
    <w:rsid w:val="17D1617B"/>
    <w:rsid w:val="17DE1E89"/>
    <w:rsid w:val="17E5657B"/>
    <w:rsid w:val="17E825D2"/>
    <w:rsid w:val="17FC0FF4"/>
    <w:rsid w:val="17FE60FC"/>
    <w:rsid w:val="18101620"/>
    <w:rsid w:val="181E0D4A"/>
    <w:rsid w:val="181E1974"/>
    <w:rsid w:val="18235A11"/>
    <w:rsid w:val="182365DE"/>
    <w:rsid w:val="183343E0"/>
    <w:rsid w:val="1834080A"/>
    <w:rsid w:val="18370ED7"/>
    <w:rsid w:val="183B24AA"/>
    <w:rsid w:val="183D3CAE"/>
    <w:rsid w:val="183F4E2C"/>
    <w:rsid w:val="184F04A9"/>
    <w:rsid w:val="18503312"/>
    <w:rsid w:val="185A2C6A"/>
    <w:rsid w:val="185C0448"/>
    <w:rsid w:val="185D6E0D"/>
    <w:rsid w:val="18646D68"/>
    <w:rsid w:val="1867142E"/>
    <w:rsid w:val="18671E93"/>
    <w:rsid w:val="186F3A91"/>
    <w:rsid w:val="1870798A"/>
    <w:rsid w:val="187E15C7"/>
    <w:rsid w:val="18801F78"/>
    <w:rsid w:val="188121F7"/>
    <w:rsid w:val="18841A04"/>
    <w:rsid w:val="18841BDA"/>
    <w:rsid w:val="188572C6"/>
    <w:rsid w:val="1888153A"/>
    <w:rsid w:val="18893450"/>
    <w:rsid w:val="18893BA2"/>
    <w:rsid w:val="1892140B"/>
    <w:rsid w:val="18952F04"/>
    <w:rsid w:val="1897046B"/>
    <w:rsid w:val="18975436"/>
    <w:rsid w:val="189D4299"/>
    <w:rsid w:val="18A84B28"/>
    <w:rsid w:val="18AA02AB"/>
    <w:rsid w:val="18B2118C"/>
    <w:rsid w:val="18B72527"/>
    <w:rsid w:val="18C4171C"/>
    <w:rsid w:val="18C57A49"/>
    <w:rsid w:val="18C93274"/>
    <w:rsid w:val="18CC042C"/>
    <w:rsid w:val="18CC5F6A"/>
    <w:rsid w:val="18CD1C85"/>
    <w:rsid w:val="18D618B4"/>
    <w:rsid w:val="18DA1A63"/>
    <w:rsid w:val="18DE08A7"/>
    <w:rsid w:val="18DF216E"/>
    <w:rsid w:val="18E42259"/>
    <w:rsid w:val="18E66762"/>
    <w:rsid w:val="18E73EF7"/>
    <w:rsid w:val="18EA45F0"/>
    <w:rsid w:val="18EC40F1"/>
    <w:rsid w:val="18EF1902"/>
    <w:rsid w:val="18FA1FA8"/>
    <w:rsid w:val="19010E82"/>
    <w:rsid w:val="19026470"/>
    <w:rsid w:val="19063661"/>
    <w:rsid w:val="190A59FB"/>
    <w:rsid w:val="190E63BE"/>
    <w:rsid w:val="191002E7"/>
    <w:rsid w:val="191864D0"/>
    <w:rsid w:val="191941D5"/>
    <w:rsid w:val="192C3541"/>
    <w:rsid w:val="192D3986"/>
    <w:rsid w:val="193B0DDE"/>
    <w:rsid w:val="193F1BF5"/>
    <w:rsid w:val="1941063A"/>
    <w:rsid w:val="1944498D"/>
    <w:rsid w:val="194B0555"/>
    <w:rsid w:val="19555D78"/>
    <w:rsid w:val="19575C31"/>
    <w:rsid w:val="195D2695"/>
    <w:rsid w:val="19640835"/>
    <w:rsid w:val="196C0A6B"/>
    <w:rsid w:val="196C1B85"/>
    <w:rsid w:val="1973132D"/>
    <w:rsid w:val="197A3CD2"/>
    <w:rsid w:val="197B7F9C"/>
    <w:rsid w:val="19815BE6"/>
    <w:rsid w:val="198273B3"/>
    <w:rsid w:val="198518D0"/>
    <w:rsid w:val="198F7943"/>
    <w:rsid w:val="199C1473"/>
    <w:rsid w:val="19A343D1"/>
    <w:rsid w:val="19A755CD"/>
    <w:rsid w:val="19A856AD"/>
    <w:rsid w:val="19B8663A"/>
    <w:rsid w:val="19C056B1"/>
    <w:rsid w:val="19C52B5C"/>
    <w:rsid w:val="19CC4C5F"/>
    <w:rsid w:val="19DC0BB5"/>
    <w:rsid w:val="19DE4FF3"/>
    <w:rsid w:val="19E83214"/>
    <w:rsid w:val="19E91342"/>
    <w:rsid w:val="19F10236"/>
    <w:rsid w:val="19F36653"/>
    <w:rsid w:val="19F63BF5"/>
    <w:rsid w:val="1A0122A9"/>
    <w:rsid w:val="1A021CA2"/>
    <w:rsid w:val="1A0602B7"/>
    <w:rsid w:val="1A0E3061"/>
    <w:rsid w:val="1A184E60"/>
    <w:rsid w:val="1A191BAE"/>
    <w:rsid w:val="1A1A4AE0"/>
    <w:rsid w:val="1A1C5EE8"/>
    <w:rsid w:val="1A2377A9"/>
    <w:rsid w:val="1A2B2629"/>
    <w:rsid w:val="1A3354C0"/>
    <w:rsid w:val="1A392DB4"/>
    <w:rsid w:val="1A3D7EB5"/>
    <w:rsid w:val="1A523F30"/>
    <w:rsid w:val="1A54037A"/>
    <w:rsid w:val="1A622941"/>
    <w:rsid w:val="1A6466FC"/>
    <w:rsid w:val="1A652CF9"/>
    <w:rsid w:val="1A67497F"/>
    <w:rsid w:val="1A680E50"/>
    <w:rsid w:val="1A6E273A"/>
    <w:rsid w:val="1A737365"/>
    <w:rsid w:val="1A765666"/>
    <w:rsid w:val="1A7B6A0D"/>
    <w:rsid w:val="1A7D3029"/>
    <w:rsid w:val="1A831CAE"/>
    <w:rsid w:val="1A854115"/>
    <w:rsid w:val="1A9109D3"/>
    <w:rsid w:val="1AA07508"/>
    <w:rsid w:val="1AAF3145"/>
    <w:rsid w:val="1ABA05E3"/>
    <w:rsid w:val="1ABC54FE"/>
    <w:rsid w:val="1ABF3A06"/>
    <w:rsid w:val="1AC2451B"/>
    <w:rsid w:val="1AD13890"/>
    <w:rsid w:val="1AD978F7"/>
    <w:rsid w:val="1ADB7B14"/>
    <w:rsid w:val="1AE70D26"/>
    <w:rsid w:val="1AF24499"/>
    <w:rsid w:val="1AFE0050"/>
    <w:rsid w:val="1B061954"/>
    <w:rsid w:val="1B0E5CFC"/>
    <w:rsid w:val="1B121F7C"/>
    <w:rsid w:val="1B125CEF"/>
    <w:rsid w:val="1B180C65"/>
    <w:rsid w:val="1B2623D1"/>
    <w:rsid w:val="1B2C3BA8"/>
    <w:rsid w:val="1B313A9C"/>
    <w:rsid w:val="1B345437"/>
    <w:rsid w:val="1B352027"/>
    <w:rsid w:val="1B365C44"/>
    <w:rsid w:val="1B3A4F35"/>
    <w:rsid w:val="1B47126F"/>
    <w:rsid w:val="1B4877D6"/>
    <w:rsid w:val="1B500A1E"/>
    <w:rsid w:val="1B5249C3"/>
    <w:rsid w:val="1B531A70"/>
    <w:rsid w:val="1B55487B"/>
    <w:rsid w:val="1B5B012E"/>
    <w:rsid w:val="1B614C74"/>
    <w:rsid w:val="1B621297"/>
    <w:rsid w:val="1B694319"/>
    <w:rsid w:val="1B6A1796"/>
    <w:rsid w:val="1B6D12AC"/>
    <w:rsid w:val="1B7010FE"/>
    <w:rsid w:val="1B760824"/>
    <w:rsid w:val="1B763C1C"/>
    <w:rsid w:val="1B814E8A"/>
    <w:rsid w:val="1B851CD9"/>
    <w:rsid w:val="1B937302"/>
    <w:rsid w:val="1B943185"/>
    <w:rsid w:val="1B950916"/>
    <w:rsid w:val="1B9C04E9"/>
    <w:rsid w:val="1B9D4B9B"/>
    <w:rsid w:val="1B9D5AD5"/>
    <w:rsid w:val="1BA11D76"/>
    <w:rsid w:val="1BA21E1A"/>
    <w:rsid w:val="1BA86482"/>
    <w:rsid w:val="1BB0161D"/>
    <w:rsid w:val="1BB374F8"/>
    <w:rsid w:val="1BB45FDF"/>
    <w:rsid w:val="1BC738A2"/>
    <w:rsid w:val="1BD0092E"/>
    <w:rsid w:val="1BD715CB"/>
    <w:rsid w:val="1BDA7845"/>
    <w:rsid w:val="1BDF0808"/>
    <w:rsid w:val="1BE05E49"/>
    <w:rsid w:val="1BE57FAF"/>
    <w:rsid w:val="1BE725EE"/>
    <w:rsid w:val="1BE94A5E"/>
    <w:rsid w:val="1BEB1F60"/>
    <w:rsid w:val="1BEE42D0"/>
    <w:rsid w:val="1BEE7EF6"/>
    <w:rsid w:val="1BF74EFB"/>
    <w:rsid w:val="1BF8635E"/>
    <w:rsid w:val="1C012489"/>
    <w:rsid w:val="1C0526EF"/>
    <w:rsid w:val="1C117199"/>
    <w:rsid w:val="1C151A34"/>
    <w:rsid w:val="1C154FB6"/>
    <w:rsid w:val="1C1A0799"/>
    <w:rsid w:val="1C1A59FE"/>
    <w:rsid w:val="1C1F1D32"/>
    <w:rsid w:val="1C220738"/>
    <w:rsid w:val="1C2838C6"/>
    <w:rsid w:val="1C2900C3"/>
    <w:rsid w:val="1C2E1C72"/>
    <w:rsid w:val="1C3218B9"/>
    <w:rsid w:val="1C34588B"/>
    <w:rsid w:val="1C382FA6"/>
    <w:rsid w:val="1C42409E"/>
    <w:rsid w:val="1C4E69F0"/>
    <w:rsid w:val="1C52263F"/>
    <w:rsid w:val="1C5332BB"/>
    <w:rsid w:val="1C585C4C"/>
    <w:rsid w:val="1C5C2332"/>
    <w:rsid w:val="1C622E7E"/>
    <w:rsid w:val="1C69101A"/>
    <w:rsid w:val="1C6C7C3F"/>
    <w:rsid w:val="1C712A53"/>
    <w:rsid w:val="1C7A3F87"/>
    <w:rsid w:val="1C7A665B"/>
    <w:rsid w:val="1C8A0F0A"/>
    <w:rsid w:val="1C8C20A0"/>
    <w:rsid w:val="1C8F3D81"/>
    <w:rsid w:val="1C987814"/>
    <w:rsid w:val="1C99282B"/>
    <w:rsid w:val="1C9C68F1"/>
    <w:rsid w:val="1CA13205"/>
    <w:rsid w:val="1CA462D0"/>
    <w:rsid w:val="1CAB51E7"/>
    <w:rsid w:val="1CAD490E"/>
    <w:rsid w:val="1CAF4097"/>
    <w:rsid w:val="1CB255D7"/>
    <w:rsid w:val="1CBA0254"/>
    <w:rsid w:val="1CBA204C"/>
    <w:rsid w:val="1CBB5F19"/>
    <w:rsid w:val="1CBF6D38"/>
    <w:rsid w:val="1CC25C7E"/>
    <w:rsid w:val="1CC91EF6"/>
    <w:rsid w:val="1CCA7883"/>
    <w:rsid w:val="1CD917F9"/>
    <w:rsid w:val="1CE63CF9"/>
    <w:rsid w:val="1CEB48FE"/>
    <w:rsid w:val="1CEF6B87"/>
    <w:rsid w:val="1CF05C0F"/>
    <w:rsid w:val="1CFD0B03"/>
    <w:rsid w:val="1CFE4D18"/>
    <w:rsid w:val="1CFF1AC8"/>
    <w:rsid w:val="1CFF2801"/>
    <w:rsid w:val="1D003455"/>
    <w:rsid w:val="1D044DCD"/>
    <w:rsid w:val="1D0F5989"/>
    <w:rsid w:val="1D1139FC"/>
    <w:rsid w:val="1D1C77BB"/>
    <w:rsid w:val="1D203480"/>
    <w:rsid w:val="1D282DD5"/>
    <w:rsid w:val="1D2853C8"/>
    <w:rsid w:val="1D2F2EBE"/>
    <w:rsid w:val="1D2F7ACF"/>
    <w:rsid w:val="1D3045EC"/>
    <w:rsid w:val="1D307DAB"/>
    <w:rsid w:val="1D3219D2"/>
    <w:rsid w:val="1D3C0FEF"/>
    <w:rsid w:val="1D457CB1"/>
    <w:rsid w:val="1D4C6CDF"/>
    <w:rsid w:val="1D4C7C51"/>
    <w:rsid w:val="1D606DAF"/>
    <w:rsid w:val="1D6303BA"/>
    <w:rsid w:val="1D67019C"/>
    <w:rsid w:val="1D6F2EB8"/>
    <w:rsid w:val="1D700276"/>
    <w:rsid w:val="1D7D1B40"/>
    <w:rsid w:val="1D7E6FF6"/>
    <w:rsid w:val="1D833578"/>
    <w:rsid w:val="1D8436C2"/>
    <w:rsid w:val="1D874A0F"/>
    <w:rsid w:val="1D883217"/>
    <w:rsid w:val="1D8A2602"/>
    <w:rsid w:val="1D8A4010"/>
    <w:rsid w:val="1D9512B1"/>
    <w:rsid w:val="1D956E3D"/>
    <w:rsid w:val="1D972B50"/>
    <w:rsid w:val="1D987FA1"/>
    <w:rsid w:val="1D9F3CB5"/>
    <w:rsid w:val="1DA236F7"/>
    <w:rsid w:val="1DA41696"/>
    <w:rsid w:val="1DA575B0"/>
    <w:rsid w:val="1DA749E0"/>
    <w:rsid w:val="1DB129B6"/>
    <w:rsid w:val="1DB14605"/>
    <w:rsid w:val="1DBF3E21"/>
    <w:rsid w:val="1DC439FB"/>
    <w:rsid w:val="1DC964EA"/>
    <w:rsid w:val="1DCA70F1"/>
    <w:rsid w:val="1DCC6454"/>
    <w:rsid w:val="1DCE7995"/>
    <w:rsid w:val="1DDA2008"/>
    <w:rsid w:val="1DDC014D"/>
    <w:rsid w:val="1DE11900"/>
    <w:rsid w:val="1DE15962"/>
    <w:rsid w:val="1DE44B16"/>
    <w:rsid w:val="1DEB4F65"/>
    <w:rsid w:val="1DF325CA"/>
    <w:rsid w:val="1DFA4102"/>
    <w:rsid w:val="1DFA4DA5"/>
    <w:rsid w:val="1DFF05BC"/>
    <w:rsid w:val="1E020A66"/>
    <w:rsid w:val="1E0329FF"/>
    <w:rsid w:val="1E045332"/>
    <w:rsid w:val="1E050E8F"/>
    <w:rsid w:val="1E090893"/>
    <w:rsid w:val="1E0C545C"/>
    <w:rsid w:val="1E130956"/>
    <w:rsid w:val="1E145C5C"/>
    <w:rsid w:val="1E253BE8"/>
    <w:rsid w:val="1E275E13"/>
    <w:rsid w:val="1E2A5D7B"/>
    <w:rsid w:val="1E370256"/>
    <w:rsid w:val="1E396260"/>
    <w:rsid w:val="1E470907"/>
    <w:rsid w:val="1E4E5248"/>
    <w:rsid w:val="1E501159"/>
    <w:rsid w:val="1E5071AC"/>
    <w:rsid w:val="1E5A1811"/>
    <w:rsid w:val="1E5A22ED"/>
    <w:rsid w:val="1E5C3BA7"/>
    <w:rsid w:val="1E5D3589"/>
    <w:rsid w:val="1E5F2261"/>
    <w:rsid w:val="1E735434"/>
    <w:rsid w:val="1E77157B"/>
    <w:rsid w:val="1E8261DC"/>
    <w:rsid w:val="1E8C6CCF"/>
    <w:rsid w:val="1E8D5277"/>
    <w:rsid w:val="1E923B6C"/>
    <w:rsid w:val="1E937F25"/>
    <w:rsid w:val="1E946017"/>
    <w:rsid w:val="1E9810BB"/>
    <w:rsid w:val="1EA81996"/>
    <w:rsid w:val="1EAF41EE"/>
    <w:rsid w:val="1EB127B6"/>
    <w:rsid w:val="1EB61558"/>
    <w:rsid w:val="1EC464E6"/>
    <w:rsid w:val="1EC62C9C"/>
    <w:rsid w:val="1ECA1166"/>
    <w:rsid w:val="1ECB3E73"/>
    <w:rsid w:val="1ED95C03"/>
    <w:rsid w:val="1EE6322C"/>
    <w:rsid w:val="1EF522DC"/>
    <w:rsid w:val="1EF75C9E"/>
    <w:rsid w:val="1EFB5963"/>
    <w:rsid w:val="1EFB6300"/>
    <w:rsid w:val="1EFD7F4F"/>
    <w:rsid w:val="1EFE6B99"/>
    <w:rsid w:val="1EFF104E"/>
    <w:rsid w:val="1F001A02"/>
    <w:rsid w:val="1F061B0A"/>
    <w:rsid w:val="1F0B04DE"/>
    <w:rsid w:val="1F10600D"/>
    <w:rsid w:val="1F106FC9"/>
    <w:rsid w:val="1F1C2608"/>
    <w:rsid w:val="1F1E2E0A"/>
    <w:rsid w:val="1F1E680E"/>
    <w:rsid w:val="1F1F5107"/>
    <w:rsid w:val="1F227B0E"/>
    <w:rsid w:val="1F23241B"/>
    <w:rsid w:val="1F2E405D"/>
    <w:rsid w:val="1F2F3108"/>
    <w:rsid w:val="1F374EFB"/>
    <w:rsid w:val="1F476B57"/>
    <w:rsid w:val="1F4D2710"/>
    <w:rsid w:val="1F4F571B"/>
    <w:rsid w:val="1F5156A0"/>
    <w:rsid w:val="1F520690"/>
    <w:rsid w:val="1F591690"/>
    <w:rsid w:val="1F5A694B"/>
    <w:rsid w:val="1F5E1906"/>
    <w:rsid w:val="1F6402B1"/>
    <w:rsid w:val="1F641262"/>
    <w:rsid w:val="1F6622B1"/>
    <w:rsid w:val="1F697442"/>
    <w:rsid w:val="1F6D2AF5"/>
    <w:rsid w:val="1F732BEF"/>
    <w:rsid w:val="1F7448E7"/>
    <w:rsid w:val="1F7B1764"/>
    <w:rsid w:val="1F8440B8"/>
    <w:rsid w:val="1F8B235E"/>
    <w:rsid w:val="1F905F1B"/>
    <w:rsid w:val="1FA36D8A"/>
    <w:rsid w:val="1FB50FA3"/>
    <w:rsid w:val="1FC04F31"/>
    <w:rsid w:val="1FCB1314"/>
    <w:rsid w:val="1FCB7FF8"/>
    <w:rsid w:val="1FCE7FC9"/>
    <w:rsid w:val="1FD5748B"/>
    <w:rsid w:val="1FDA1FE4"/>
    <w:rsid w:val="1FE40C5E"/>
    <w:rsid w:val="1FE55163"/>
    <w:rsid w:val="1FEB5A40"/>
    <w:rsid w:val="1FEE2394"/>
    <w:rsid w:val="1FF076D2"/>
    <w:rsid w:val="200658F9"/>
    <w:rsid w:val="20067885"/>
    <w:rsid w:val="200B50CF"/>
    <w:rsid w:val="20105276"/>
    <w:rsid w:val="20106CF4"/>
    <w:rsid w:val="2013131A"/>
    <w:rsid w:val="20183B4D"/>
    <w:rsid w:val="20263ECD"/>
    <w:rsid w:val="2027345C"/>
    <w:rsid w:val="203741B3"/>
    <w:rsid w:val="203B1EE2"/>
    <w:rsid w:val="20451E50"/>
    <w:rsid w:val="20460C9C"/>
    <w:rsid w:val="204F6A1E"/>
    <w:rsid w:val="20557C4E"/>
    <w:rsid w:val="20593C3B"/>
    <w:rsid w:val="20604E92"/>
    <w:rsid w:val="20635670"/>
    <w:rsid w:val="20650CBB"/>
    <w:rsid w:val="206A6999"/>
    <w:rsid w:val="206C683D"/>
    <w:rsid w:val="206D3671"/>
    <w:rsid w:val="206D6888"/>
    <w:rsid w:val="206E3DFD"/>
    <w:rsid w:val="206F5565"/>
    <w:rsid w:val="20710221"/>
    <w:rsid w:val="20730D63"/>
    <w:rsid w:val="20744A7E"/>
    <w:rsid w:val="20795DD4"/>
    <w:rsid w:val="208227B6"/>
    <w:rsid w:val="208862D9"/>
    <w:rsid w:val="208B256B"/>
    <w:rsid w:val="20915DC2"/>
    <w:rsid w:val="20950429"/>
    <w:rsid w:val="209D2E9D"/>
    <w:rsid w:val="20AC1288"/>
    <w:rsid w:val="20AD0936"/>
    <w:rsid w:val="20B1768A"/>
    <w:rsid w:val="20B235D0"/>
    <w:rsid w:val="20B72C38"/>
    <w:rsid w:val="20BB2089"/>
    <w:rsid w:val="20BE7628"/>
    <w:rsid w:val="20C03129"/>
    <w:rsid w:val="20C11028"/>
    <w:rsid w:val="20C33B30"/>
    <w:rsid w:val="20C436FD"/>
    <w:rsid w:val="20C50292"/>
    <w:rsid w:val="20C67E10"/>
    <w:rsid w:val="20CF2791"/>
    <w:rsid w:val="20DA5E9D"/>
    <w:rsid w:val="20DF18A2"/>
    <w:rsid w:val="20EA5B82"/>
    <w:rsid w:val="20F05D60"/>
    <w:rsid w:val="20F06D02"/>
    <w:rsid w:val="20F86CB7"/>
    <w:rsid w:val="21024A33"/>
    <w:rsid w:val="2107341A"/>
    <w:rsid w:val="21094D23"/>
    <w:rsid w:val="21177B51"/>
    <w:rsid w:val="211B7B4C"/>
    <w:rsid w:val="211C3D59"/>
    <w:rsid w:val="211D091C"/>
    <w:rsid w:val="211E3AF9"/>
    <w:rsid w:val="21212810"/>
    <w:rsid w:val="21231762"/>
    <w:rsid w:val="21253B23"/>
    <w:rsid w:val="21270C98"/>
    <w:rsid w:val="212B1E09"/>
    <w:rsid w:val="212D0E99"/>
    <w:rsid w:val="21316838"/>
    <w:rsid w:val="21333BF5"/>
    <w:rsid w:val="213B46D1"/>
    <w:rsid w:val="213F428B"/>
    <w:rsid w:val="214B6C2E"/>
    <w:rsid w:val="214D0784"/>
    <w:rsid w:val="214F4A4D"/>
    <w:rsid w:val="215C3E48"/>
    <w:rsid w:val="21647161"/>
    <w:rsid w:val="216827D0"/>
    <w:rsid w:val="216D688E"/>
    <w:rsid w:val="217119FA"/>
    <w:rsid w:val="2171590D"/>
    <w:rsid w:val="21736FB2"/>
    <w:rsid w:val="217D5F95"/>
    <w:rsid w:val="217E3435"/>
    <w:rsid w:val="21800D35"/>
    <w:rsid w:val="21814754"/>
    <w:rsid w:val="21882A29"/>
    <w:rsid w:val="21895D56"/>
    <w:rsid w:val="218A4696"/>
    <w:rsid w:val="218B2F00"/>
    <w:rsid w:val="218D6F9B"/>
    <w:rsid w:val="21936A52"/>
    <w:rsid w:val="219F3768"/>
    <w:rsid w:val="21A07A56"/>
    <w:rsid w:val="21A44C18"/>
    <w:rsid w:val="21A66BB0"/>
    <w:rsid w:val="21A70519"/>
    <w:rsid w:val="21A80CBE"/>
    <w:rsid w:val="21AB7D35"/>
    <w:rsid w:val="21AD63B2"/>
    <w:rsid w:val="21B04A3B"/>
    <w:rsid w:val="21D05089"/>
    <w:rsid w:val="21D054F3"/>
    <w:rsid w:val="21D06385"/>
    <w:rsid w:val="21D43B5D"/>
    <w:rsid w:val="21DA2518"/>
    <w:rsid w:val="21DA57F5"/>
    <w:rsid w:val="21DE2C5F"/>
    <w:rsid w:val="21E27423"/>
    <w:rsid w:val="21E7687B"/>
    <w:rsid w:val="21E92B37"/>
    <w:rsid w:val="21EE3B6B"/>
    <w:rsid w:val="21F0282F"/>
    <w:rsid w:val="21F02CA0"/>
    <w:rsid w:val="21FA3799"/>
    <w:rsid w:val="22010AA5"/>
    <w:rsid w:val="22072AD1"/>
    <w:rsid w:val="22097472"/>
    <w:rsid w:val="220E4E65"/>
    <w:rsid w:val="220E6D9E"/>
    <w:rsid w:val="2211744D"/>
    <w:rsid w:val="22153930"/>
    <w:rsid w:val="22207047"/>
    <w:rsid w:val="22207503"/>
    <w:rsid w:val="22237B92"/>
    <w:rsid w:val="22250AF2"/>
    <w:rsid w:val="222A2C64"/>
    <w:rsid w:val="223012F0"/>
    <w:rsid w:val="223838C1"/>
    <w:rsid w:val="22421C9D"/>
    <w:rsid w:val="22442DAD"/>
    <w:rsid w:val="22466CFC"/>
    <w:rsid w:val="22466F96"/>
    <w:rsid w:val="22467A71"/>
    <w:rsid w:val="22561367"/>
    <w:rsid w:val="2256756B"/>
    <w:rsid w:val="225E6BF1"/>
    <w:rsid w:val="22616AF3"/>
    <w:rsid w:val="22673BCB"/>
    <w:rsid w:val="22770F47"/>
    <w:rsid w:val="22826E1D"/>
    <w:rsid w:val="22846BEE"/>
    <w:rsid w:val="228F506F"/>
    <w:rsid w:val="229F5FF3"/>
    <w:rsid w:val="22A07BDB"/>
    <w:rsid w:val="22A87F41"/>
    <w:rsid w:val="22AE50AB"/>
    <w:rsid w:val="22AF22A0"/>
    <w:rsid w:val="22AF6AFE"/>
    <w:rsid w:val="22AF6CB6"/>
    <w:rsid w:val="22B021F1"/>
    <w:rsid w:val="22B26292"/>
    <w:rsid w:val="22BB05B1"/>
    <w:rsid w:val="22BE7F75"/>
    <w:rsid w:val="22D16551"/>
    <w:rsid w:val="22D210C4"/>
    <w:rsid w:val="22DE4EEF"/>
    <w:rsid w:val="22ED6B3B"/>
    <w:rsid w:val="22FC1F2E"/>
    <w:rsid w:val="22FC2AF1"/>
    <w:rsid w:val="22FF7EBF"/>
    <w:rsid w:val="23023C93"/>
    <w:rsid w:val="23037BBF"/>
    <w:rsid w:val="230752D9"/>
    <w:rsid w:val="230D1D10"/>
    <w:rsid w:val="230F2CE0"/>
    <w:rsid w:val="230F2E5F"/>
    <w:rsid w:val="23102595"/>
    <w:rsid w:val="23151018"/>
    <w:rsid w:val="23182AA3"/>
    <w:rsid w:val="231D4640"/>
    <w:rsid w:val="231D584B"/>
    <w:rsid w:val="231F6AD0"/>
    <w:rsid w:val="23291C4E"/>
    <w:rsid w:val="232A1E4C"/>
    <w:rsid w:val="23311049"/>
    <w:rsid w:val="23356F74"/>
    <w:rsid w:val="23387363"/>
    <w:rsid w:val="23396CC9"/>
    <w:rsid w:val="233974D4"/>
    <w:rsid w:val="233A4500"/>
    <w:rsid w:val="233B58C7"/>
    <w:rsid w:val="233F6084"/>
    <w:rsid w:val="2341593D"/>
    <w:rsid w:val="234552F6"/>
    <w:rsid w:val="23477FAB"/>
    <w:rsid w:val="23511969"/>
    <w:rsid w:val="235225DF"/>
    <w:rsid w:val="23541E61"/>
    <w:rsid w:val="23556FAB"/>
    <w:rsid w:val="2358620C"/>
    <w:rsid w:val="235B1B6D"/>
    <w:rsid w:val="23653932"/>
    <w:rsid w:val="2367250E"/>
    <w:rsid w:val="2368791E"/>
    <w:rsid w:val="236E4141"/>
    <w:rsid w:val="236E7CA5"/>
    <w:rsid w:val="2374327B"/>
    <w:rsid w:val="237437B9"/>
    <w:rsid w:val="238121C0"/>
    <w:rsid w:val="238303E1"/>
    <w:rsid w:val="23862BF6"/>
    <w:rsid w:val="238B077E"/>
    <w:rsid w:val="238B0E89"/>
    <w:rsid w:val="238F362B"/>
    <w:rsid w:val="23913FAA"/>
    <w:rsid w:val="23932D4D"/>
    <w:rsid w:val="23955722"/>
    <w:rsid w:val="239832D9"/>
    <w:rsid w:val="239E017A"/>
    <w:rsid w:val="23A0194E"/>
    <w:rsid w:val="23A870BE"/>
    <w:rsid w:val="23A9479A"/>
    <w:rsid w:val="23A959A2"/>
    <w:rsid w:val="23AA01AD"/>
    <w:rsid w:val="23BA309C"/>
    <w:rsid w:val="23BE2203"/>
    <w:rsid w:val="23BE7205"/>
    <w:rsid w:val="23CB24D3"/>
    <w:rsid w:val="23CE0BDC"/>
    <w:rsid w:val="23CF10A7"/>
    <w:rsid w:val="23CF1D90"/>
    <w:rsid w:val="23CF7741"/>
    <w:rsid w:val="23D02F21"/>
    <w:rsid w:val="23D22098"/>
    <w:rsid w:val="23D626E0"/>
    <w:rsid w:val="23DE7188"/>
    <w:rsid w:val="23E03C0A"/>
    <w:rsid w:val="23E3452A"/>
    <w:rsid w:val="23E452CD"/>
    <w:rsid w:val="23F33879"/>
    <w:rsid w:val="23F5776F"/>
    <w:rsid w:val="23F92BC4"/>
    <w:rsid w:val="23FB1A29"/>
    <w:rsid w:val="2401470D"/>
    <w:rsid w:val="240F2211"/>
    <w:rsid w:val="2411343C"/>
    <w:rsid w:val="24151E43"/>
    <w:rsid w:val="241A3A6D"/>
    <w:rsid w:val="241B28B1"/>
    <w:rsid w:val="241E12E9"/>
    <w:rsid w:val="242001D4"/>
    <w:rsid w:val="2424739B"/>
    <w:rsid w:val="242A5C2C"/>
    <w:rsid w:val="243275EE"/>
    <w:rsid w:val="243A5F62"/>
    <w:rsid w:val="243C6BBE"/>
    <w:rsid w:val="244376F6"/>
    <w:rsid w:val="24486878"/>
    <w:rsid w:val="244D6D81"/>
    <w:rsid w:val="24505B53"/>
    <w:rsid w:val="24530430"/>
    <w:rsid w:val="245527F4"/>
    <w:rsid w:val="24591D54"/>
    <w:rsid w:val="24597AEF"/>
    <w:rsid w:val="24637946"/>
    <w:rsid w:val="246C374B"/>
    <w:rsid w:val="24733BDD"/>
    <w:rsid w:val="24745115"/>
    <w:rsid w:val="247461F6"/>
    <w:rsid w:val="24804DEF"/>
    <w:rsid w:val="248A5ABB"/>
    <w:rsid w:val="248C4A0E"/>
    <w:rsid w:val="2491398A"/>
    <w:rsid w:val="24967261"/>
    <w:rsid w:val="24974E84"/>
    <w:rsid w:val="24A91F98"/>
    <w:rsid w:val="24AA3B4B"/>
    <w:rsid w:val="24AC5404"/>
    <w:rsid w:val="24C12635"/>
    <w:rsid w:val="24C42A45"/>
    <w:rsid w:val="24C818E6"/>
    <w:rsid w:val="24D66CE2"/>
    <w:rsid w:val="24D939E3"/>
    <w:rsid w:val="24DC7ADC"/>
    <w:rsid w:val="24DC7C7A"/>
    <w:rsid w:val="24F410EB"/>
    <w:rsid w:val="24FA054D"/>
    <w:rsid w:val="24FB20AC"/>
    <w:rsid w:val="25005CC9"/>
    <w:rsid w:val="25063415"/>
    <w:rsid w:val="2508312E"/>
    <w:rsid w:val="25090B04"/>
    <w:rsid w:val="250D4341"/>
    <w:rsid w:val="25111A22"/>
    <w:rsid w:val="25132C5F"/>
    <w:rsid w:val="251A00D5"/>
    <w:rsid w:val="251D48BF"/>
    <w:rsid w:val="2529499B"/>
    <w:rsid w:val="252A767A"/>
    <w:rsid w:val="252D5A47"/>
    <w:rsid w:val="253179E9"/>
    <w:rsid w:val="25321BD9"/>
    <w:rsid w:val="2533554D"/>
    <w:rsid w:val="25351D55"/>
    <w:rsid w:val="254A5EB1"/>
    <w:rsid w:val="254C3FBB"/>
    <w:rsid w:val="25563F0F"/>
    <w:rsid w:val="255743C5"/>
    <w:rsid w:val="255D2168"/>
    <w:rsid w:val="25615841"/>
    <w:rsid w:val="256204C6"/>
    <w:rsid w:val="25737773"/>
    <w:rsid w:val="257604F1"/>
    <w:rsid w:val="2576140C"/>
    <w:rsid w:val="258048ED"/>
    <w:rsid w:val="258310E5"/>
    <w:rsid w:val="258D3D1D"/>
    <w:rsid w:val="258E3E63"/>
    <w:rsid w:val="258F6131"/>
    <w:rsid w:val="259107D7"/>
    <w:rsid w:val="25930E56"/>
    <w:rsid w:val="25991019"/>
    <w:rsid w:val="25A073CB"/>
    <w:rsid w:val="25A811A4"/>
    <w:rsid w:val="25AC4BC0"/>
    <w:rsid w:val="25B429C8"/>
    <w:rsid w:val="25B442A6"/>
    <w:rsid w:val="25CE0829"/>
    <w:rsid w:val="25D4591D"/>
    <w:rsid w:val="25D80F92"/>
    <w:rsid w:val="25DA28C1"/>
    <w:rsid w:val="25E447F2"/>
    <w:rsid w:val="25E74D23"/>
    <w:rsid w:val="25F14F30"/>
    <w:rsid w:val="25FD3BED"/>
    <w:rsid w:val="25FD450E"/>
    <w:rsid w:val="260F232D"/>
    <w:rsid w:val="260F5D8C"/>
    <w:rsid w:val="26126447"/>
    <w:rsid w:val="26164D26"/>
    <w:rsid w:val="26212B22"/>
    <w:rsid w:val="26256FE1"/>
    <w:rsid w:val="262A2932"/>
    <w:rsid w:val="262C44C3"/>
    <w:rsid w:val="26317304"/>
    <w:rsid w:val="263757F7"/>
    <w:rsid w:val="2639588D"/>
    <w:rsid w:val="263A398D"/>
    <w:rsid w:val="263B2FB0"/>
    <w:rsid w:val="263B4DB9"/>
    <w:rsid w:val="263F5DA8"/>
    <w:rsid w:val="26451C19"/>
    <w:rsid w:val="264B18DA"/>
    <w:rsid w:val="264C29AD"/>
    <w:rsid w:val="26534F4B"/>
    <w:rsid w:val="265B25EC"/>
    <w:rsid w:val="265F0D50"/>
    <w:rsid w:val="265F2B32"/>
    <w:rsid w:val="266C0414"/>
    <w:rsid w:val="266E737F"/>
    <w:rsid w:val="26775D05"/>
    <w:rsid w:val="267878D1"/>
    <w:rsid w:val="26902AC0"/>
    <w:rsid w:val="26922A05"/>
    <w:rsid w:val="26957ACC"/>
    <w:rsid w:val="269D39E9"/>
    <w:rsid w:val="269D6732"/>
    <w:rsid w:val="26AF7E55"/>
    <w:rsid w:val="26B95CFA"/>
    <w:rsid w:val="26C30882"/>
    <w:rsid w:val="26CB22D7"/>
    <w:rsid w:val="26D17030"/>
    <w:rsid w:val="26D87C8A"/>
    <w:rsid w:val="26E14982"/>
    <w:rsid w:val="26E20A59"/>
    <w:rsid w:val="26E6579E"/>
    <w:rsid w:val="26EB38FC"/>
    <w:rsid w:val="26ED7B45"/>
    <w:rsid w:val="26EE2BD7"/>
    <w:rsid w:val="26EE5008"/>
    <w:rsid w:val="26EF3957"/>
    <w:rsid w:val="26F32EFA"/>
    <w:rsid w:val="26F67CE9"/>
    <w:rsid w:val="26F7797C"/>
    <w:rsid w:val="27010F79"/>
    <w:rsid w:val="27023930"/>
    <w:rsid w:val="270D0B31"/>
    <w:rsid w:val="27144E47"/>
    <w:rsid w:val="27146DB1"/>
    <w:rsid w:val="271733DF"/>
    <w:rsid w:val="27242D5E"/>
    <w:rsid w:val="272625A9"/>
    <w:rsid w:val="2726481D"/>
    <w:rsid w:val="272B71E4"/>
    <w:rsid w:val="27391AFC"/>
    <w:rsid w:val="274120C9"/>
    <w:rsid w:val="27447082"/>
    <w:rsid w:val="2746228C"/>
    <w:rsid w:val="274B7E06"/>
    <w:rsid w:val="27586610"/>
    <w:rsid w:val="276152EA"/>
    <w:rsid w:val="27635C65"/>
    <w:rsid w:val="27670961"/>
    <w:rsid w:val="276D1E74"/>
    <w:rsid w:val="2775533D"/>
    <w:rsid w:val="27757196"/>
    <w:rsid w:val="2779100C"/>
    <w:rsid w:val="27810B0E"/>
    <w:rsid w:val="2784177D"/>
    <w:rsid w:val="278C1B32"/>
    <w:rsid w:val="278D6010"/>
    <w:rsid w:val="27915065"/>
    <w:rsid w:val="279259CB"/>
    <w:rsid w:val="27967C74"/>
    <w:rsid w:val="27986432"/>
    <w:rsid w:val="279C5F4B"/>
    <w:rsid w:val="279F66E7"/>
    <w:rsid w:val="27A27DB4"/>
    <w:rsid w:val="27AB5FCB"/>
    <w:rsid w:val="27C47C8B"/>
    <w:rsid w:val="27C66322"/>
    <w:rsid w:val="27C95203"/>
    <w:rsid w:val="27CD6E10"/>
    <w:rsid w:val="27D428C5"/>
    <w:rsid w:val="27D6191F"/>
    <w:rsid w:val="27D91111"/>
    <w:rsid w:val="27E172E8"/>
    <w:rsid w:val="27E42A38"/>
    <w:rsid w:val="27E43DAB"/>
    <w:rsid w:val="27E67750"/>
    <w:rsid w:val="27E74E37"/>
    <w:rsid w:val="27E849C0"/>
    <w:rsid w:val="27EC121F"/>
    <w:rsid w:val="27EE1CD2"/>
    <w:rsid w:val="2805509F"/>
    <w:rsid w:val="28092C88"/>
    <w:rsid w:val="280F6788"/>
    <w:rsid w:val="28152353"/>
    <w:rsid w:val="28190F29"/>
    <w:rsid w:val="281B2A0C"/>
    <w:rsid w:val="281F4115"/>
    <w:rsid w:val="28204078"/>
    <w:rsid w:val="282216EE"/>
    <w:rsid w:val="28296312"/>
    <w:rsid w:val="282B2B54"/>
    <w:rsid w:val="282F0007"/>
    <w:rsid w:val="283214F2"/>
    <w:rsid w:val="2834619E"/>
    <w:rsid w:val="28386DC6"/>
    <w:rsid w:val="28395C89"/>
    <w:rsid w:val="283F7859"/>
    <w:rsid w:val="284149DF"/>
    <w:rsid w:val="2841638F"/>
    <w:rsid w:val="284A451D"/>
    <w:rsid w:val="284B7FB6"/>
    <w:rsid w:val="28503AD0"/>
    <w:rsid w:val="2855725B"/>
    <w:rsid w:val="28591E68"/>
    <w:rsid w:val="2859394E"/>
    <w:rsid w:val="28612B31"/>
    <w:rsid w:val="286B6E54"/>
    <w:rsid w:val="286F2666"/>
    <w:rsid w:val="28740D50"/>
    <w:rsid w:val="287564D8"/>
    <w:rsid w:val="28772FF0"/>
    <w:rsid w:val="2879046D"/>
    <w:rsid w:val="28804C9A"/>
    <w:rsid w:val="2881307E"/>
    <w:rsid w:val="288472E7"/>
    <w:rsid w:val="28900B2B"/>
    <w:rsid w:val="28927A00"/>
    <w:rsid w:val="28951116"/>
    <w:rsid w:val="289A1884"/>
    <w:rsid w:val="28A61E40"/>
    <w:rsid w:val="28A87096"/>
    <w:rsid w:val="28A940DD"/>
    <w:rsid w:val="28AA3620"/>
    <w:rsid w:val="28C342F1"/>
    <w:rsid w:val="28C502A0"/>
    <w:rsid w:val="28C9546C"/>
    <w:rsid w:val="28DF167C"/>
    <w:rsid w:val="28E00A33"/>
    <w:rsid w:val="28E15B01"/>
    <w:rsid w:val="28E241C3"/>
    <w:rsid w:val="28E47E7C"/>
    <w:rsid w:val="28F20E47"/>
    <w:rsid w:val="28F717F0"/>
    <w:rsid w:val="28F84B43"/>
    <w:rsid w:val="28FA6557"/>
    <w:rsid w:val="28FB0C59"/>
    <w:rsid w:val="28FE0A3F"/>
    <w:rsid w:val="29007C59"/>
    <w:rsid w:val="290972D6"/>
    <w:rsid w:val="290D2560"/>
    <w:rsid w:val="290E5525"/>
    <w:rsid w:val="290E5B06"/>
    <w:rsid w:val="2915456A"/>
    <w:rsid w:val="291B3CA0"/>
    <w:rsid w:val="2924708C"/>
    <w:rsid w:val="2930076B"/>
    <w:rsid w:val="293164A9"/>
    <w:rsid w:val="2931682A"/>
    <w:rsid w:val="293B4DFC"/>
    <w:rsid w:val="293B6864"/>
    <w:rsid w:val="294068A5"/>
    <w:rsid w:val="29475D1B"/>
    <w:rsid w:val="294A0A19"/>
    <w:rsid w:val="294A7634"/>
    <w:rsid w:val="294C311B"/>
    <w:rsid w:val="29577532"/>
    <w:rsid w:val="295E3E33"/>
    <w:rsid w:val="29616CA2"/>
    <w:rsid w:val="2963536F"/>
    <w:rsid w:val="29641C74"/>
    <w:rsid w:val="296840EB"/>
    <w:rsid w:val="296C086B"/>
    <w:rsid w:val="29706C1D"/>
    <w:rsid w:val="298271A6"/>
    <w:rsid w:val="29851299"/>
    <w:rsid w:val="298922BE"/>
    <w:rsid w:val="298D00AE"/>
    <w:rsid w:val="29981B1A"/>
    <w:rsid w:val="299C255D"/>
    <w:rsid w:val="299E3C75"/>
    <w:rsid w:val="29A2779F"/>
    <w:rsid w:val="29A55561"/>
    <w:rsid w:val="29AC460E"/>
    <w:rsid w:val="29AE6428"/>
    <w:rsid w:val="29AF46D5"/>
    <w:rsid w:val="29B14018"/>
    <w:rsid w:val="29B279D0"/>
    <w:rsid w:val="29B30701"/>
    <w:rsid w:val="29B54186"/>
    <w:rsid w:val="29B77105"/>
    <w:rsid w:val="29BE4189"/>
    <w:rsid w:val="29C25C35"/>
    <w:rsid w:val="29C45637"/>
    <w:rsid w:val="29C808C2"/>
    <w:rsid w:val="29CB31AC"/>
    <w:rsid w:val="29D65FCA"/>
    <w:rsid w:val="29D96CCD"/>
    <w:rsid w:val="29DC0639"/>
    <w:rsid w:val="29E351B3"/>
    <w:rsid w:val="29E62D6D"/>
    <w:rsid w:val="29E677E5"/>
    <w:rsid w:val="29E83BBF"/>
    <w:rsid w:val="29E9271A"/>
    <w:rsid w:val="29F0569B"/>
    <w:rsid w:val="2A057965"/>
    <w:rsid w:val="2A0729F9"/>
    <w:rsid w:val="2A0B1ED1"/>
    <w:rsid w:val="2A0E06C7"/>
    <w:rsid w:val="2A0E5A0C"/>
    <w:rsid w:val="2A105CC8"/>
    <w:rsid w:val="2A1C6530"/>
    <w:rsid w:val="2A1D7A75"/>
    <w:rsid w:val="2A1F0273"/>
    <w:rsid w:val="2A1F3891"/>
    <w:rsid w:val="2A200F6D"/>
    <w:rsid w:val="2A260B42"/>
    <w:rsid w:val="2A271DD3"/>
    <w:rsid w:val="2A2C0489"/>
    <w:rsid w:val="2A2D533F"/>
    <w:rsid w:val="2A332965"/>
    <w:rsid w:val="2A38094A"/>
    <w:rsid w:val="2A39259F"/>
    <w:rsid w:val="2A396426"/>
    <w:rsid w:val="2A3B69C5"/>
    <w:rsid w:val="2A3E7E6C"/>
    <w:rsid w:val="2A3F5E4E"/>
    <w:rsid w:val="2A4342CF"/>
    <w:rsid w:val="2A445B7C"/>
    <w:rsid w:val="2A4D5F9E"/>
    <w:rsid w:val="2A540AE5"/>
    <w:rsid w:val="2A5507F6"/>
    <w:rsid w:val="2A5916BA"/>
    <w:rsid w:val="2A647A5C"/>
    <w:rsid w:val="2A68387A"/>
    <w:rsid w:val="2A6B78B0"/>
    <w:rsid w:val="2A6C1203"/>
    <w:rsid w:val="2A702AAD"/>
    <w:rsid w:val="2A731D81"/>
    <w:rsid w:val="2A7E72CF"/>
    <w:rsid w:val="2A8131CA"/>
    <w:rsid w:val="2A8571F3"/>
    <w:rsid w:val="2A8970CA"/>
    <w:rsid w:val="2A8B54A6"/>
    <w:rsid w:val="2A9141F0"/>
    <w:rsid w:val="2A9226E6"/>
    <w:rsid w:val="2A99086A"/>
    <w:rsid w:val="2A9B2FF6"/>
    <w:rsid w:val="2AAA3342"/>
    <w:rsid w:val="2AAB4E75"/>
    <w:rsid w:val="2AAF00F2"/>
    <w:rsid w:val="2ABB1B8F"/>
    <w:rsid w:val="2AC32A0C"/>
    <w:rsid w:val="2AC465FE"/>
    <w:rsid w:val="2AC7151F"/>
    <w:rsid w:val="2ACF4BB0"/>
    <w:rsid w:val="2AE00F22"/>
    <w:rsid w:val="2AED423B"/>
    <w:rsid w:val="2AED7693"/>
    <w:rsid w:val="2AF00852"/>
    <w:rsid w:val="2AF131A3"/>
    <w:rsid w:val="2AF54989"/>
    <w:rsid w:val="2AF73148"/>
    <w:rsid w:val="2AFA75CC"/>
    <w:rsid w:val="2B097F16"/>
    <w:rsid w:val="2B102214"/>
    <w:rsid w:val="2B12611D"/>
    <w:rsid w:val="2B2121BB"/>
    <w:rsid w:val="2B232DDA"/>
    <w:rsid w:val="2B24650C"/>
    <w:rsid w:val="2B2876A4"/>
    <w:rsid w:val="2B2A0327"/>
    <w:rsid w:val="2B2A7324"/>
    <w:rsid w:val="2B2D1061"/>
    <w:rsid w:val="2B2D33D9"/>
    <w:rsid w:val="2B305A68"/>
    <w:rsid w:val="2B3136FF"/>
    <w:rsid w:val="2B320F6B"/>
    <w:rsid w:val="2B3C7276"/>
    <w:rsid w:val="2B41632F"/>
    <w:rsid w:val="2B425D22"/>
    <w:rsid w:val="2B45361F"/>
    <w:rsid w:val="2B583A41"/>
    <w:rsid w:val="2B5D7B0A"/>
    <w:rsid w:val="2B694CC0"/>
    <w:rsid w:val="2B6D493A"/>
    <w:rsid w:val="2B6D69EF"/>
    <w:rsid w:val="2B6E7D1B"/>
    <w:rsid w:val="2B790236"/>
    <w:rsid w:val="2B7A655E"/>
    <w:rsid w:val="2B804B37"/>
    <w:rsid w:val="2B8F35CD"/>
    <w:rsid w:val="2B9342DF"/>
    <w:rsid w:val="2B940B03"/>
    <w:rsid w:val="2B99474D"/>
    <w:rsid w:val="2B9F2A62"/>
    <w:rsid w:val="2BAB4430"/>
    <w:rsid w:val="2BB51D06"/>
    <w:rsid w:val="2BBB0C64"/>
    <w:rsid w:val="2BBB4471"/>
    <w:rsid w:val="2BBE2779"/>
    <w:rsid w:val="2BC26685"/>
    <w:rsid w:val="2BCD50E4"/>
    <w:rsid w:val="2BD24B40"/>
    <w:rsid w:val="2BD2573B"/>
    <w:rsid w:val="2BDE1074"/>
    <w:rsid w:val="2BE529A3"/>
    <w:rsid w:val="2BE61E09"/>
    <w:rsid w:val="2BEE0C8D"/>
    <w:rsid w:val="2BF16EB6"/>
    <w:rsid w:val="2BF306D7"/>
    <w:rsid w:val="2BF61EEE"/>
    <w:rsid w:val="2BF64051"/>
    <w:rsid w:val="2BF6562A"/>
    <w:rsid w:val="2BF76A73"/>
    <w:rsid w:val="2C034081"/>
    <w:rsid w:val="2C0466BD"/>
    <w:rsid w:val="2C101762"/>
    <w:rsid w:val="2C147361"/>
    <w:rsid w:val="2C1752E5"/>
    <w:rsid w:val="2C2106A7"/>
    <w:rsid w:val="2C280BBC"/>
    <w:rsid w:val="2C291503"/>
    <w:rsid w:val="2C2956F9"/>
    <w:rsid w:val="2C2B7B76"/>
    <w:rsid w:val="2C305DB8"/>
    <w:rsid w:val="2C314231"/>
    <w:rsid w:val="2C320426"/>
    <w:rsid w:val="2C341A92"/>
    <w:rsid w:val="2C3C6B6A"/>
    <w:rsid w:val="2C4976A0"/>
    <w:rsid w:val="2C4A1D3E"/>
    <w:rsid w:val="2C4C53A8"/>
    <w:rsid w:val="2C540F03"/>
    <w:rsid w:val="2C580EF3"/>
    <w:rsid w:val="2C644B11"/>
    <w:rsid w:val="2C6D2B2C"/>
    <w:rsid w:val="2C6D6414"/>
    <w:rsid w:val="2C6F4994"/>
    <w:rsid w:val="2C713717"/>
    <w:rsid w:val="2C743452"/>
    <w:rsid w:val="2C7C58A8"/>
    <w:rsid w:val="2C7E4B24"/>
    <w:rsid w:val="2C7F3BEA"/>
    <w:rsid w:val="2C866019"/>
    <w:rsid w:val="2C885EFB"/>
    <w:rsid w:val="2C8B2277"/>
    <w:rsid w:val="2C9018A0"/>
    <w:rsid w:val="2C9269C5"/>
    <w:rsid w:val="2C9E0921"/>
    <w:rsid w:val="2C9F0023"/>
    <w:rsid w:val="2CA06BC3"/>
    <w:rsid w:val="2CA21756"/>
    <w:rsid w:val="2CA344A5"/>
    <w:rsid w:val="2CAA2540"/>
    <w:rsid w:val="2CAA3EF1"/>
    <w:rsid w:val="2CAC4FAE"/>
    <w:rsid w:val="2CAF529A"/>
    <w:rsid w:val="2CB4245C"/>
    <w:rsid w:val="2CC035B4"/>
    <w:rsid w:val="2CDB0915"/>
    <w:rsid w:val="2CDE35C8"/>
    <w:rsid w:val="2CE32C51"/>
    <w:rsid w:val="2CE85F2E"/>
    <w:rsid w:val="2CEB3893"/>
    <w:rsid w:val="2CEC23F2"/>
    <w:rsid w:val="2CF3705A"/>
    <w:rsid w:val="2CF67E2E"/>
    <w:rsid w:val="2CFA59E5"/>
    <w:rsid w:val="2CFB4940"/>
    <w:rsid w:val="2CFB6671"/>
    <w:rsid w:val="2CFD56CC"/>
    <w:rsid w:val="2D0124C0"/>
    <w:rsid w:val="2D04577F"/>
    <w:rsid w:val="2D07144B"/>
    <w:rsid w:val="2D073818"/>
    <w:rsid w:val="2D0B03A0"/>
    <w:rsid w:val="2D240CF0"/>
    <w:rsid w:val="2D300182"/>
    <w:rsid w:val="2D3270CF"/>
    <w:rsid w:val="2D336A9B"/>
    <w:rsid w:val="2D342CBA"/>
    <w:rsid w:val="2D372D10"/>
    <w:rsid w:val="2D390BED"/>
    <w:rsid w:val="2D3954F8"/>
    <w:rsid w:val="2D3C00C6"/>
    <w:rsid w:val="2D4861A9"/>
    <w:rsid w:val="2D5D6265"/>
    <w:rsid w:val="2D5E4A19"/>
    <w:rsid w:val="2D716074"/>
    <w:rsid w:val="2D7E0578"/>
    <w:rsid w:val="2D896F0D"/>
    <w:rsid w:val="2D8B1F97"/>
    <w:rsid w:val="2D8B3F4D"/>
    <w:rsid w:val="2D8D10E0"/>
    <w:rsid w:val="2D9350B7"/>
    <w:rsid w:val="2D954190"/>
    <w:rsid w:val="2D9A66B8"/>
    <w:rsid w:val="2DA03B6E"/>
    <w:rsid w:val="2DA655DC"/>
    <w:rsid w:val="2DAD1778"/>
    <w:rsid w:val="2DAD7C01"/>
    <w:rsid w:val="2DB31111"/>
    <w:rsid w:val="2DBA0595"/>
    <w:rsid w:val="2DC134C6"/>
    <w:rsid w:val="2DC56D26"/>
    <w:rsid w:val="2DC67A2D"/>
    <w:rsid w:val="2DC72806"/>
    <w:rsid w:val="2DC9463F"/>
    <w:rsid w:val="2DC96212"/>
    <w:rsid w:val="2DCE1F5E"/>
    <w:rsid w:val="2DDC0B49"/>
    <w:rsid w:val="2DDF56D8"/>
    <w:rsid w:val="2DE24326"/>
    <w:rsid w:val="2DE94139"/>
    <w:rsid w:val="2DEE21C8"/>
    <w:rsid w:val="2DF34E5A"/>
    <w:rsid w:val="2DF61E42"/>
    <w:rsid w:val="2DFD0D7F"/>
    <w:rsid w:val="2E026219"/>
    <w:rsid w:val="2E052D87"/>
    <w:rsid w:val="2E0721B4"/>
    <w:rsid w:val="2E1A149A"/>
    <w:rsid w:val="2E1C4FED"/>
    <w:rsid w:val="2E2F059E"/>
    <w:rsid w:val="2E3012F1"/>
    <w:rsid w:val="2E31347D"/>
    <w:rsid w:val="2E402DEC"/>
    <w:rsid w:val="2E413F3A"/>
    <w:rsid w:val="2E416F59"/>
    <w:rsid w:val="2E47062E"/>
    <w:rsid w:val="2E4D5034"/>
    <w:rsid w:val="2E53382E"/>
    <w:rsid w:val="2E5632A2"/>
    <w:rsid w:val="2E627EA9"/>
    <w:rsid w:val="2E633722"/>
    <w:rsid w:val="2E7201D9"/>
    <w:rsid w:val="2E7268A8"/>
    <w:rsid w:val="2E743FF4"/>
    <w:rsid w:val="2E7633B5"/>
    <w:rsid w:val="2E8121E2"/>
    <w:rsid w:val="2E812FD4"/>
    <w:rsid w:val="2E817BF1"/>
    <w:rsid w:val="2E830A39"/>
    <w:rsid w:val="2E8352E5"/>
    <w:rsid w:val="2E836A59"/>
    <w:rsid w:val="2E8D5027"/>
    <w:rsid w:val="2E922BF6"/>
    <w:rsid w:val="2E99382A"/>
    <w:rsid w:val="2EA20865"/>
    <w:rsid w:val="2EAF5B6A"/>
    <w:rsid w:val="2EB031D0"/>
    <w:rsid w:val="2EBA1D2B"/>
    <w:rsid w:val="2EC57342"/>
    <w:rsid w:val="2EC61CF0"/>
    <w:rsid w:val="2ECA6A60"/>
    <w:rsid w:val="2ECC3CD5"/>
    <w:rsid w:val="2EDA69E0"/>
    <w:rsid w:val="2EE26262"/>
    <w:rsid w:val="2EE87E46"/>
    <w:rsid w:val="2EEA1448"/>
    <w:rsid w:val="2EEB034A"/>
    <w:rsid w:val="2EF1550C"/>
    <w:rsid w:val="2EF20405"/>
    <w:rsid w:val="2F0B6BF7"/>
    <w:rsid w:val="2F0C7907"/>
    <w:rsid w:val="2F167C0D"/>
    <w:rsid w:val="2F1E194B"/>
    <w:rsid w:val="2F251E06"/>
    <w:rsid w:val="2F29376C"/>
    <w:rsid w:val="2F306EF6"/>
    <w:rsid w:val="2F320512"/>
    <w:rsid w:val="2F33105F"/>
    <w:rsid w:val="2F3556D6"/>
    <w:rsid w:val="2F435021"/>
    <w:rsid w:val="2F4553D4"/>
    <w:rsid w:val="2F4E2FA9"/>
    <w:rsid w:val="2F5D4C44"/>
    <w:rsid w:val="2F604E5A"/>
    <w:rsid w:val="2F6D0AC9"/>
    <w:rsid w:val="2F7B515A"/>
    <w:rsid w:val="2F7C02D1"/>
    <w:rsid w:val="2F82774F"/>
    <w:rsid w:val="2F894243"/>
    <w:rsid w:val="2F9049A2"/>
    <w:rsid w:val="2F907A2A"/>
    <w:rsid w:val="2F914B2E"/>
    <w:rsid w:val="2F941BFC"/>
    <w:rsid w:val="2F950972"/>
    <w:rsid w:val="2F9B0E2F"/>
    <w:rsid w:val="2FA50066"/>
    <w:rsid w:val="2FAB6261"/>
    <w:rsid w:val="2FAC7BB2"/>
    <w:rsid w:val="2FAC7D43"/>
    <w:rsid w:val="2FAF790C"/>
    <w:rsid w:val="2FB70AC8"/>
    <w:rsid w:val="2FBF0186"/>
    <w:rsid w:val="2FC14297"/>
    <w:rsid w:val="2FC33AF1"/>
    <w:rsid w:val="2FC66873"/>
    <w:rsid w:val="2FCF333A"/>
    <w:rsid w:val="2FD35868"/>
    <w:rsid w:val="2FDF4EB3"/>
    <w:rsid w:val="2FE117AA"/>
    <w:rsid w:val="2FE816D4"/>
    <w:rsid w:val="2FE83E8B"/>
    <w:rsid w:val="2FEA114E"/>
    <w:rsid w:val="2FF355E8"/>
    <w:rsid w:val="2FFA1E70"/>
    <w:rsid w:val="2FFA6337"/>
    <w:rsid w:val="30015E65"/>
    <w:rsid w:val="30050569"/>
    <w:rsid w:val="30071318"/>
    <w:rsid w:val="301517A3"/>
    <w:rsid w:val="30182B0E"/>
    <w:rsid w:val="302B7544"/>
    <w:rsid w:val="3030127E"/>
    <w:rsid w:val="303243B8"/>
    <w:rsid w:val="30361315"/>
    <w:rsid w:val="303F4DB2"/>
    <w:rsid w:val="304678FC"/>
    <w:rsid w:val="304A304F"/>
    <w:rsid w:val="30597B4B"/>
    <w:rsid w:val="305A503A"/>
    <w:rsid w:val="306A5A3A"/>
    <w:rsid w:val="306A7962"/>
    <w:rsid w:val="306B169A"/>
    <w:rsid w:val="308252CE"/>
    <w:rsid w:val="30857418"/>
    <w:rsid w:val="30885200"/>
    <w:rsid w:val="30900A3E"/>
    <w:rsid w:val="30A00AF7"/>
    <w:rsid w:val="30A54C0C"/>
    <w:rsid w:val="30AB6A79"/>
    <w:rsid w:val="30AC15C5"/>
    <w:rsid w:val="30AF76EE"/>
    <w:rsid w:val="30B00EE3"/>
    <w:rsid w:val="30BC0F82"/>
    <w:rsid w:val="30BF5DAD"/>
    <w:rsid w:val="30C77663"/>
    <w:rsid w:val="30CA6CB4"/>
    <w:rsid w:val="30CB2886"/>
    <w:rsid w:val="30CC4A9F"/>
    <w:rsid w:val="30D20312"/>
    <w:rsid w:val="30D243BA"/>
    <w:rsid w:val="30D53BE2"/>
    <w:rsid w:val="30DA614B"/>
    <w:rsid w:val="30E50047"/>
    <w:rsid w:val="30E76148"/>
    <w:rsid w:val="30EC3CCF"/>
    <w:rsid w:val="30F506BC"/>
    <w:rsid w:val="30FA2135"/>
    <w:rsid w:val="30FC0E31"/>
    <w:rsid w:val="31072318"/>
    <w:rsid w:val="310824FC"/>
    <w:rsid w:val="31085EF2"/>
    <w:rsid w:val="310D6B7E"/>
    <w:rsid w:val="310E2F7D"/>
    <w:rsid w:val="3112061B"/>
    <w:rsid w:val="31145EF8"/>
    <w:rsid w:val="31184643"/>
    <w:rsid w:val="3119085E"/>
    <w:rsid w:val="3119131B"/>
    <w:rsid w:val="311A172A"/>
    <w:rsid w:val="311B6AE5"/>
    <w:rsid w:val="311D2F77"/>
    <w:rsid w:val="3124487C"/>
    <w:rsid w:val="312552A8"/>
    <w:rsid w:val="3127556A"/>
    <w:rsid w:val="312A7562"/>
    <w:rsid w:val="31305EFD"/>
    <w:rsid w:val="31366C5E"/>
    <w:rsid w:val="31414A5E"/>
    <w:rsid w:val="314345B3"/>
    <w:rsid w:val="31466DBB"/>
    <w:rsid w:val="314A2768"/>
    <w:rsid w:val="31594303"/>
    <w:rsid w:val="315E078B"/>
    <w:rsid w:val="315F16AB"/>
    <w:rsid w:val="31627191"/>
    <w:rsid w:val="3163546A"/>
    <w:rsid w:val="316377C9"/>
    <w:rsid w:val="31692562"/>
    <w:rsid w:val="316B1E3C"/>
    <w:rsid w:val="316B5F62"/>
    <w:rsid w:val="31717999"/>
    <w:rsid w:val="3173069D"/>
    <w:rsid w:val="3176574B"/>
    <w:rsid w:val="31770AE6"/>
    <w:rsid w:val="317C34A6"/>
    <w:rsid w:val="317F0BF9"/>
    <w:rsid w:val="318F60A1"/>
    <w:rsid w:val="319834D2"/>
    <w:rsid w:val="319B3416"/>
    <w:rsid w:val="319E117B"/>
    <w:rsid w:val="31A00E4C"/>
    <w:rsid w:val="31A457D8"/>
    <w:rsid w:val="31AC2E8B"/>
    <w:rsid w:val="31BF7136"/>
    <w:rsid w:val="31C0675C"/>
    <w:rsid w:val="31C13461"/>
    <w:rsid w:val="31C31EED"/>
    <w:rsid w:val="31C3612E"/>
    <w:rsid w:val="31D05EF6"/>
    <w:rsid w:val="31D93400"/>
    <w:rsid w:val="31DD68A5"/>
    <w:rsid w:val="31E03182"/>
    <w:rsid w:val="31E474AC"/>
    <w:rsid w:val="31ED5688"/>
    <w:rsid w:val="31F55E79"/>
    <w:rsid w:val="31FC2019"/>
    <w:rsid w:val="320D59B2"/>
    <w:rsid w:val="321F3CA6"/>
    <w:rsid w:val="32202989"/>
    <w:rsid w:val="32280244"/>
    <w:rsid w:val="322C09BA"/>
    <w:rsid w:val="32310688"/>
    <w:rsid w:val="32314773"/>
    <w:rsid w:val="323179FF"/>
    <w:rsid w:val="323264E4"/>
    <w:rsid w:val="3233597F"/>
    <w:rsid w:val="32363A45"/>
    <w:rsid w:val="32377D4E"/>
    <w:rsid w:val="323836F7"/>
    <w:rsid w:val="323A7A4F"/>
    <w:rsid w:val="323F75C4"/>
    <w:rsid w:val="3248067F"/>
    <w:rsid w:val="324C1E3D"/>
    <w:rsid w:val="3252202B"/>
    <w:rsid w:val="3252498F"/>
    <w:rsid w:val="32547C7F"/>
    <w:rsid w:val="32581A09"/>
    <w:rsid w:val="325D797E"/>
    <w:rsid w:val="326C674A"/>
    <w:rsid w:val="3273577F"/>
    <w:rsid w:val="327C185A"/>
    <w:rsid w:val="327E1AA9"/>
    <w:rsid w:val="328175E9"/>
    <w:rsid w:val="32844397"/>
    <w:rsid w:val="32925E9B"/>
    <w:rsid w:val="32946BE0"/>
    <w:rsid w:val="32967728"/>
    <w:rsid w:val="32987D80"/>
    <w:rsid w:val="329927F2"/>
    <w:rsid w:val="32A05A5E"/>
    <w:rsid w:val="32A6487B"/>
    <w:rsid w:val="32B4363D"/>
    <w:rsid w:val="32B56BD2"/>
    <w:rsid w:val="32B83901"/>
    <w:rsid w:val="32BD19CC"/>
    <w:rsid w:val="32BE766F"/>
    <w:rsid w:val="32BF3521"/>
    <w:rsid w:val="32CE5F36"/>
    <w:rsid w:val="32D47E2F"/>
    <w:rsid w:val="32D50B88"/>
    <w:rsid w:val="32D75DF9"/>
    <w:rsid w:val="32D85144"/>
    <w:rsid w:val="32DC3E3C"/>
    <w:rsid w:val="32DE4054"/>
    <w:rsid w:val="32DE6EC1"/>
    <w:rsid w:val="32E6242A"/>
    <w:rsid w:val="32E861A4"/>
    <w:rsid w:val="32ED4897"/>
    <w:rsid w:val="32F055F3"/>
    <w:rsid w:val="32F8172E"/>
    <w:rsid w:val="32F8351E"/>
    <w:rsid w:val="32FB63A9"/>
    <w:rsid w:val="32FB7785"/>
    <w:rsid w:val="32FC0551"/>
    <w:rsid w:val="32FC37D1"/>
    <w:rsid w:val="32FF118D"/>
    <w:rsid w:val="3305742D"/>
    <w:rsid w:val="33084815"/>
    <w:rsid w:val="330E29D0"/>
    <w:rsid w:val="33182CEB"/>
    <w:rsid w:val="331832B8"/>
    <w:rsid w:val="331D6A7E"/>
    <w:rsid w:val="331F145B"/>
    <w:rsid w:val="331F429A"/>
    <w:rsid w:val="332267E5"/>
    <w:rsid w:val="33343641"/>
    <w:rsid w:val="333C73E8"/>
    <w:rsid w:val="333F245E"/>
    <w:rsid w:val="334061BD"/>
    <w:rsid w:val="33477B41"/>
    <w:rsid w:val="33490398"/>
    <w:rsid w:val="334F6D3D"/>
    <w:rsid w:val="33522897"/>
    <w:rsid w:val="3354186D"/>
    <w:rsid w:val="335B0720"/>
    <w:rsid w:val="335B32EE"/>
    <w:rsid w:val="33693CB8"/>
    <w:rsid w:val="33781DE8"/>
    <w:rsid w:val="33836487"/>
    <w:rsid w:val="3384016F"/>
    <w:rsid w:val="33846BB5"/>
    <w:rsid w:val="3385073E"/>
    <w:rsid w:val="3398217C"/>
    <w:rsid w:val="339D48BD"/>
    <w:rsid w:val="339D536C"/>
    <w:rsid w:val="33A04041"/>
    <w:rsid w:val="33A673A6"/>
    <w:rsid w:val="33AF61DE"/>
    <w:rsid w:val="33B27BB8"/>
    <w:rsid w:val="33B3434B"/>
    <w:rsid w:val="33B5072A"/>
    <w:rsid w:val="33B51EB2"/>
    <w:rsid w:val="33BA00BE"/>
    <w:rsid w:val="33BE357D"/>
    <w:rsid w:val="33C84D09"/>
    <w:rsid w:val="33C850A1"/>
    <w:rsid w:val="33CD6DCE"/>
    <w:rsid w:val="33E42737"/>
    <w:rsid w:val="33E43711"/>
    <w:rsid w:val="33E5319B"/>
    <w:rsid w:val="33EA236D"/>
    <w:rsid w:val="33ED7B40"/>
    <w:rsid w:val="33EF4BF9"/>
    <w:rsid w:val="33F24927"/>
    <w:rsid w:val="33F8174D"/>
    <w:rsid w:val="34047AB2"/>
    <w:rsid w:val="3406615B"/>
    <w:rsid w:val="34084570"/>
    <w:rsid w:val="340A23F2"/>
    <w:rsid w:val="340C1714"/>
    <w:rsid w:val="340E04EA"/>
    <w:rsid w:val="340E6D54"/>
    <w:rsid w:val="34134540"/>
    <w:rsid w:val="341955E3"/>
    <w:rsid w:val="341D45A9"/>
    <w:rsid w:val="342155DA"/>
    <w:rsid w:val="342405FE"/>
    <w:rsid w:val="3431799D"/>
    <w:rsid w:val="34331661"/>
    <w:rsid w:val="34407E11"/>
    <w:rsid w:val="344124BC"/>
    <w:rsid w:val="34420141"/>
    <w:rsid w:val="34422A60"/>
    <w:rsid w:val="344719E2"/>
    <w:rsid w:val="344E67D3"/>
    <w:rsid w:val="344F522A"/>
    <w:rsid w:val="34533782"/>
    <w:rsid w:val="345371AE"/>
    <w:rsid w:val="345A6DFE"/>
    <w:rsid w:val="345B1777"/>
    <w:rsid w:val="346A6496"/>
    <w:rsid w:val="34725B9A"/>
    <w:rsid w:val="34730126"/>
    <w:rsid w:val="34770D33"/>
    <w:rsid w:val="34786E56"/>
    <w:rsid w:val="3481206C"/>
    <w:rsid w:val="34824B64"/>
    <w:rsid w:val="348329EE"/>
    <w:rsid w:val="34862FAE"/>
    <w:rsid w:val="348E6872"/>
    <w:rsid w:val="34945673"/>
    <w:rsid w:val="34983A2C"/>
    <w:rsid w:val="34994639"/>
    <w:rsid w:val="34A20857"/>
    <w:rsid w:val="34A31692"/>
    <w:rsid w:val="34B77939"/>
    <w:rsid w:val="34B91CED"/>
    <w:rsid w:val="34BD0108"/>
    <w:rsid w:val="34BD010C"/>
    <w:rsid w:val="34BD7997"/>
    <w:rsid w:val="34CF4DBD"/>
    <w:rsid w:val="34D80DC2"/>
    <w:rsid w:val="34D95893"/>
    <w:rsid w:val="34E03DDC"/>
    <w:rsid w:val="34E25216"/>
    <w:rsid w:val="34E42034"/>
    <w:rsid w:val="34E82043"/>
    <w:rsid w:val="34F373ED"/>
    <w:rsid w:val="34FF407A"/>
    <w:rsid w:val="350A1211"/>
    <w:rsid w:val="350A39EE"/>
    <w:rsid w:val="350B634C"/>
    <w:rsid w:val="350C034F"/>
    <w:rsid w:val="350F349A"/>
    <w:rsid w:val="35106C98"/>
    <w:rsid w:val="351D1134"/>
    <w:rsid w:val="351E33F4"/>
    <w:rsid w:val="351F3796"/>
    <w:rsid w:val="35201AD7"/>
    <w:rsid w:val="35260CAD"/>
    <w:rsid w:val="352654A0"/>
    <w:rsid w:val="35277AC4"/>
    <w:rsid w:val="35295726"/>
    <w:rsid w:val="352C6C0B"/>
    <w:rsid w:val="352F08BE"/>
    <w:rsid w:val="35330F48"/>
    <w:rsid w:val="35394841"/>
    <w:rsid w:val="35405143"/>
    <w:rsid w:val="354528B9"/>
    <w:rsid w:val="35490B61"/>
    <w:rsid w:val="35505B10"/>
    <w:rsid w:val="35644E4C"/>
    <w:rsid w:val="35666C92"/>
    <w:rsid w:val="356D12B5"/>
    <w:rsid w:val="35707D0E"/>
    <w:rsid w:val="35712B15"/>
    <w:rsid w:val="357834F2"/>
    <w:rsid w:val="357B5E07"/>
    <w:rsid w:val="359479A9"/>
    <w:rsid w:val="35A47EE4"/>
    <w:rsid w:val="35AC461D"/>
    <w:rsid w:val="35B93933"/>
    <w:rsid w:val="35BC4F7E"/>
    <w:rsid w:val="35C032BE"/>
    <w:rsid w:val="35CC57D0"/>
    <w:rsid w:val="35D10FDA"/>
    <w:rsid w:val="35E42996"/>
    <w:rsid w:val="35ED38E3"/>
    <w:rsid w:val="35EF58ED"/>
    <w:rsid w:val="360114AD"/>
    <w:rsid w:val="36164C3C"/>
    <w:rsid w:val="36172FC8"/>
    <w:rsid w:val="36186194"/>
    <w:rsid w:val="361870F6"/>
    <w:rsid w:val="36232C00"/>
    <w:rsid w:val="36293ACA"/>
    <w:rsid w:val="36302C1A"/>
    <w:rsid w:val="3632035C"/>
    <w:rsid w:val="36331F78"/>
    <w:rsid w:val="363921B5"/>
    <w:rsid w:val="363B1505"/>
    <w:rsid w:val="36413AA3"/>
    <w:rsid w:val="36433BB3"/>
    <w:rsid w:val="364842EA"/>
    <w:rsid w:val="36516225"/>
    <w:rsid w:val="36565757"/>
    <w:rsid w:val="365B0E83"/>
    <w:rsid w:val="365C7258"/>
    <w:rsid w:val="365E1EC3"/>
    <w:rsid w:val="365E34E7"/>
    <w:rsid w:val="366147D1"/>
    <w:rsid w:val="366D213B"/>
    <w:rsid w:val="366E2B9A"/>
    <w:rsid w:val="36784715"/>
    <w:rsid w:val="367E1058"/>
    <w:rsid w:val="3687064F"/>
    <w:rsid w:val="368C77EE"/>
    <w:rsid w:val="368E138D"/>
    <w:rsid w:val="368E5714"/>
    <w:rsid w:val="3696129F"/>
    <w:rsid w:val="36970AA5"/>
    <w:rsid w:val="36A71C96"/>
    <w:rsid w:val="36AC4FD7"/>
    <w:rsid w:val="36AE3435"/>
    <w:rsid w:val="36B15676"/>
    <w:rsid w:val="36B30619"/>
    <w:rsid w:val="36B734B0"/>
    <w:rsid w:val="36C210BF"/>
    <w:rsid w:val="36C8401B"/>
    <w:rsid w:val="36CB3415"/>
    <w:rsid w:val="36CF347B"/>
    <w:rsid w:val="36D81BF8"/>
    <w:rsid w:val="36D86F29"/>
    <w:rsid w:val="36DB1D0C"/>
    <w:rsid w:val="36E60996"/>
    <w:rsid w:val="36F019CC"/>
    <w:rsid w:val="36F13D4C"/>
    <w:rsid w:val="36F27CD0"/>
    <w:rsid w:val="36F47CF4"/>
    <w:rsid w:val="36FB77C2"/>
    <w:rsid w:val="37054369"/>
    <w:rsid w:val="3709363C"/>
    <w:rsid w:val="370E5C8E"/>
    <w:rsid w:val="37243628"/>
    <w:rsid w:val="372D324F"/>
    <w:rsid w:val="37387490"/>
    <w:rsid w:val="373F11B0"/>
    <w:rsid w:val="373F2964"/>
    <w:rsid w:val="37400DAE"/>
    <w:rsid w:val="374357BD"/>
    <w:rsid w:val="374D53E9"/>
    <w:rsid w:val="374F4EA0"/>
    <w:rsid w:val="374F656F"/>
    <w:rsid w:val="37521E8D"/>
    <w:rsid w:val="37524F81"/>
    <w:rsid w:val="37535506"/>
    <w:rsid w:val="375E7907"/>
    <w:rsid w:val="37644FB2"/>
    <w:rsid w:val="376C1DA5"/>
    <w:rsid w:val="377F3884"/>
    <w:rsid w:val="378038B5"/>
    <w:rsid w:val="37876D65"/>
    <w:rsid w:val="37891A10"/>
    <w:rsid w:val="378A0400"/>
    <w:rsid w:val="378A3362"/>
    <w:rsid w:val="378A7D14"/>
    <w:rsid w:val="379436DC"/>
    <w:rsid w:val="379844CF"/>
    <w:rsid w:val="379A71B4"/>
    <w:rsid w:val="379F2D9B"/>
    <w:rsid w:val="37A01A95"/>
    <w:rsid w:val="37A0561C"/>
    <w:rsid w:val="37A97BE6"/>
    <w:rsid w:val="37B30B62"/>
    <w:rsid w:val="37B52099"/>
    <w:rsid w:val="37B90A18"/>
    <w:rsid w:val="37B9507E"/>
    <w:rsid w:val="37C57984"/>
    <w:rsid w:val="37CA6CC5"/>
    <w:rsid w:val="37D403D3"/>
    <w:rsid w:val="37D5514F"/>
    <w:rsid w:val="37D6505F"/>
    <w:rsid w:val="37DB6374"/>
    <w:rsid w:val="37EC6475"/>
    <w:rsid w:val="37F242F2"/>
    <w:rsid w:val="37F752A2"/>
    <w:rsid w:val="37FF5714"/>
    <w:rsid w:val="38097E02"/>
    <w:rsid w:val="380D06DA"/>
    <w:rsid w:val="38176CA5"/>
    <w:rsid w:val="381E651A"/>
    <w:rsid w:val="381F33E4"/>
    <w:rsid w:val="38232DF2"/>
    <w:rsid w:val="38254C8B"/>
    <w:rsid w:val="38286BC5"/>
    <w:rsid w:val="383D7893"/>
    <w:rsid w:val="383E258D"/>
    <w:rsid w:val="3841426D"/>
    <w:rsid w:val="38417EFC"/>
    <w:rsid w:val="384B233A"/>
    <w:rsid w:val="38533315"/>
    <w:rsid w:val="38577CB8"/>
    <w:rsid w:val="38581E2C"/>
    <w:rsid w:val="385A15F2"/>
    <w:rsid w:val="385B30E8"/>
    <w:rsid w:val="385C36FF"/>
    <w:rsid w:val="38630C90"/>
    <w:rsid w:val="38670329"/>
    <w:rsid w:val="386A2722"/>
    <w:rsid w:val="386C0433"/>
    <w:rsid w:val="386D75D6"/>
    <w:rsid w:val="386F19EF"/>
    <w:rsid w:val="38731CD2"/>
    <w:rsid w:val="3876257B"/>
    <w:rsid w:val="387A44D4"/>
    <w:rsid w:val="387C7FE0"/>
    <w:rsid w:val="387E3543"/>
    <w:rsid w:val="38850AAB"/>
    <w:rsid w:val="38895CD0"/>
    <w:rsid w:val="389A03CA"/>
    <w:rsid w:val="389B41BF"/>
    <w:rsid w:val="38A03A75"/>
    <w:rsid w:val="38A60118"/>
    <w:rsid w:val="38AA6CDC"/>
    <w:rsid w:val="38AC0358"/>
    <w:rsid w:val="38AD7CA1"/>
    <w:rsid w:val="38AF3BE2"/>
    <w:rsid w:val="38B1397F"/>
    <w:rsid w:val="38B909F5"/>
    <w:rsid w:val="38BB4A51"/>
    <w:rsid w:val="38BE1DE6"/>
    <w:rsid w:val="38C726FE"/>
    <w:rsid w:val="38C76A3A"/>
    <w:rsid w:val="38CF157D"/>
    <w:rsid w:val="38E1110A"/>
    <w:rsid w:val="38E37D32"/>
    <w:rsid w:val="38E52C7F"/>
    <w:rsid w:val="38E6394C"/>
    <w:rsid w:val="38FA2369"/>
    <w:rsid w:val="38FC670B"/>
    <w:rsid w:val="39081F1F"/>
    <w:rsid w:val="390C5663"/>
    <w:rsid w:val="39154608"/>
    <w:rsid w:val="391D31E4"/>
    <w:rsid w:val="391F389A"/>
    <w:rsid w:val="3922576A"/>
    <w:rsid w:val="3924016B"/>
    <w:rsid w:val="39261F97"/>
    <w:rsid w:val="3926393D"/>
    <w:rsid w:val="39264DF0"/>
    <w:rsid w:val="392767BA"/>
    <w:rsid w:val="392A3070"/>
    <w:rsid w:val="392B32DA"/>
    <w:rsid w:val="393614F8"/>
    <w:rsid w:val="394C4B70"/>
    <w:rsid w:val="394F2FEC"/>
    <w:rsid w:val="39582E31"/>
    <w:rsid w:val="39593C54"/>
    <w:rsid w:val="395B4520"/>
    <w:rsid w:val="396342F9"/>
    <w:rsid w:val="39666204"/>
    <w:rsid w:val="39670CA1"/>
    <w:rsid w:val="396A7B04"/>
    <w:rsid w:val="396C3CB4"/>
    <w:rsid w:val="396F37C1"/>
    <w:rsid w:val="3973345A"/>
    <w:rsid w:val="39774258"/>
    <w:rsid w:val="397B6ECE"/>
    <w:rsid w:val="397D7DBB"/>
    <w:rsid w:val="3984522B"/>
    <w:rsid w:val="39863F53"/>
    <w:rsid w:val="39891701"/>
    <w:rsid w:val="398A38AF"/>
    <w:rsid w:val="399312FE"/>
    <w:rsid w:val="39A03181"/>
    <w:rsid w:val="39A848C0"/>
    <w:rsid w:val="39AD728B"/>
    <w:rsid w:val="39AE4129"/>
    <w:rsid w:val="39B004B6"/>
    <w:rsid w:val="39B6312B"/>
    <w:rsid w:val="39C626F9"/>
    <w:rsid w:val="39C935E9"/>
    <w:rsid w:val="39CB5C9E"/>
    <w:rsid w:val="39CB66E3"/>
    <w:rsid w:val="39D35FC9"/>
    <w:rsid w:val="39D52694"/>
    <w:rsid w:val="39DA4AA6"/>
    <w:rsid w:val="39DE7D26"/>
    <w:rsid w:val="39EC440F"/>
    <w:rsid w:val="39F3262C"/>
    <w:rsid w:val="39F62BD7"/>
    <w:rsid w:val="3A043E95"/>
    <w:rsid w:val="3A0A201F"/>
    <w:rsid w:val="3A106C84"/>
    <w:rsid w:val="3A17147C"/>
    <w:rsid w:val="3A190CA8"/>
    <w:rsid w:val="3A1D17A2"/>
    <w:rsid w:val="3A1D6518"/>
    <w:rsid w:val="3A1F249A"/>
    <w:rsid w:val="3A2A444C"/>
    <w:rsid w:val="3A2B03D6"/>
    <w:rsid w:val="3A321DFB"/>
    <w:rsid w:val="3A326B38"/>
    <w:rsid w:val="3A36177C"/>
    <w:rsid w:val="3A3A1E13"/>
    <w:rsid w:val="3A3D75F6"/>
    <w:rsid w:val="3A422834"/>
    <w:rsid w:val="3A44389B"/>
    <w:rsid w:val="3A4A7957"/>
    <w:rsid w:val="3A4C45B8"/>
    <w:rsid w:val="3A561F4D"/>
    <w:rsid w:val="3A5A683D"/>
    <w:rsid w:val="3A6642D9"/>
    <w:rsid w:val="3A6A3C25"/>
    <w:rsid w:val="3A6E58C1"/>
    <w:rsid w:val="3A707AAA"/>
    <w:rsid w:val="3A743572"/>
    <w:rsid w:val="3A7544E6"/>
    <w:rsid w:val="3A770DAD"/>
    <w:rsid w:val="3A782F7C"/>
    <w:rsid w:val="3A7F7688"/>
    <w:rsid w:val="3A85253D"/>
    <w:rsid w:val="3A8C34CA"/>
    <w:rsid w:val="3A9D68FF"/>
    <w:rsid w:val="3A9F6CCB"/>
    <w:rsid w:val="3AA10EFC"/>
    <w:rsid w:val="3AA27C50"/>
    <w:rsid w:val="3AA45344"/>
    <w:rsid w:val="3AA81DF9"/>
    <w:rsid w:val="3AAD78B6"/>
    <w:rsid w:val="3AAF65B4"/>
    <w:rsid w:val="3AB27995"/>
    <w:rsid w:val="3AB5744A"/>
    <w:rsid w:val="3ACC3BDC"/>
    <w:rsid w:val="3AD329FC"/>
    <w:rsid w:val="3AD6600E"/>
    <w:rsid w:val="3AD85B67"/>
    <w:rsid w:val="3ADB5B88"/>
    <w:rsid w:val="3ADC2D2A"/>
    <w:rsid w:val="3AE17077"/>
    <w:rsid w:val="3AED77A5"/>
    <w:rsid w:val="3AEF1A10"/>
    <w:rsid w:val="3B201352"/>
    <w:rsid w:val="3B210C94"/>
    <w:rsid w:val="3B287FBD"/>
    <w:rsid w:val="3B2F5E9A"/>
    <w:rsid w:val="3B2F6581"/>
    <w:rsid w:val="3B321615"/>
    <w:rsid w:val="3B3A286F"/>
    <w:rsid w:val="3B3C36D3"/>
    <w:rsid w:val="3B3E6A4B"/>
    <w:rsid w:val="3B421D02"/>
    <w:rsid w:val="3B442EE9"/>
    <w:rsid w:val="3B486A89"/>
    <w:rsid w:val="3B4C366C"/>
    <w:rsid w:val="3B53329A"/>
    <w:rsid w:val="3B581B1B"/>
    <w:rsid w:val="3B5A1DF6"/>
    <w:rsid w:val="3B5F0E6F"/>
    <w:rsid w:val="3B6010F6"/>
    <w:rsid w:val="3B6250F8"/>
    <w:rsid w:val="3B67170E"/>
    <w:rsid w:val="3B686C65"/>
    <w:rsid w:val="3B6B178F"/>
    <w:rsid w:val="3B766BD8"/>
    <w:rsid w:val="3B7E4A28"/>
    <w:rsid w:val="3B9561A4"/>
    <w:rsid w:val="3B96298B"/>
    <w:rsid w:val="3B9734F0"/>
    <w:rsid w:val="3B9D0D74"/>
    <w:rsid w:val="3B9D7EDF"/>
    <w:rsid w:val="3BA433F9"/>
    <w:rsid w:val="3BAE4D80"/>
    <w:rsid w:val="3BB336A4"/>
    <w:rsid w:val="3BB73956"/>
    <w:rsid w:val="3BBE2F4C"/>
    <w:rsid w:val="3BC3010B"/>
    <w:rsid w:val="3BC36B48"/>
    <w:rsid w:val="3BC46C09"/>
    <w:rsid w:val="3BC632DF"/>
    <w:rsid w:val="3BCF2AA6"/>
    <w:rsid w:val="3BD918BF"/>
    <w:rsid w:val="3BDC59FE"/>
    <w:rsid w:val="3BDC6957"/>
    <w:rsid w:val="3BE07B95"/>
    <w:rsid w:val="3BE13124"/>
    <w:rsid w:val="3BEB7FFF"/>
    <w:rsid w:val="3BF67023"/>
    <w:rsid w:val="3BFD0935"/>
    <w:rsid w:val="3C000F68"/>
    <w:rsid w:val="3C01674F"/>
    <w:rsid w:val="3C021896"/>
    <w:rsid w:val="3C0B48CB"/>
    <w:rsid w:val="3C135A83"/>
    <w:rsid w:val="3C1952AD"/>
    <w:rsid w:val="3C2C2E3C"/>
    <w:rsid w:val="3C2E43F3"/>
    <w:rsid w:val="3C2E6F5C"/>
    <w:rsid w:val="3C3C4165"/>
    <w:rsid w:val="3C3E3BBE"/>
    <w:rsid w:val="3C420ABD"/>
    <w:rsid w:val="3C4438AF"/>
    <w:rsid w:val="3C4567D2"/>
    <w:rsid w:val="3C4E2760"/>
    <w:rsid w:val="3C5071F8"/>
    <w:rsid w:val="3C595690"/>
    <w:rsid w:val="3C5F734D"/>
    <w:rsid w:val="3C654D26"/>
    <w:rsid w:val="3C6F77F1"/>
    <w:rsid w:val="3C827ADD"/>
    <w:rsid w:val="3C845215"/>
    <w:rsid w:val="3C905668"/>
    <w:rsid w:val="3C9C5780"/>
    <w:rsid w:val="3C9C77DB"/>
    <w:rsid w:val="3C9E64A7"/>
    <w:rsid w:val="3C9F22D3"/>
    <w:rsid w:val="3CA22C86"/>
    <w:rsid w:val="3CA430EE"/>
    <w:rsid w:val="3CA44FA9"/>
    <w:rsid w:val="3CC02942"/>
    <w:rsid w:val="3CC55DCF"/>
    <w:rsid w:val="3CC831FE"/>
    <w:rsid w:val="3CC94A4B"/>
    <w:rsid w:val="3CCA057E"/>
    <w:rsid w:val="3CD84F2B"/>
    <w:rsid w:val="3CDD28CB"/>
    <w:rsid w:val="3CF0416D"/>
    <w:rsid w:val="3CF619BE"/>
    <w:rsid w:val="3CF87840"/>
    <w:rsid w:val="3D0A63CF"/>
    <w:rsid w:val="3D0E715E"/>
    <w:rsid w:val="3D1C7A22"/>
    <w:rsid w:val="3D204761"/>
    <w:rsid w:val="3D211832"/>
    <w:rsid w:val="3D226965"/>
    <w:rsid w:val="3D252792"/>
    <w:rsid w:val="3D2A7F67"/>
    <w:rsid w:val="3D2F0D09"/>
    <w:rsid w:val="3D3B1992"/>
    <w:rsid w:val="3D3C40AB"/>
    <w:rsid w:val="3D4719F1"/>
    <w:rsid w:val="3D493C65"/>
    <w:rsid w:val="3D4C1F83"/>
    <w:rsid w:val="3D516D6E"/>
    <w:rsid w:val="3D546BAD"/>
    <w:rsid w:val="3D554BD2"/>
    <w:rsid w:val="3D5B2DD3"/>
    <w:rsid w:val="3D5B78BD"/>
    <w:rsid w:val="3D5C76CC"/>
    <w:rsid w:val="3D5E0FBF"/>
    <w:rsid w:val="3D6A7EBC"/>
    <w:rsid w:val="3D6E7D16"/>
    <w:rsid w:val="3D72032E"/>
    <w:rsid w:val="3D7356A8"/>
    <w:rsid w:val="3D781A4D"/>
    <w:rsid w:val="3D787B1D"/>
    <w:rsid w:val="3D7C54B1"/>
    <w:rsid w:val="3D7F55B1"/>
    <w:rsid w:val="3D8D0B16"/>
    <w:rsid w:val="3D8F1166"/>
    <w:rsid w:val="3D9919A1"/>
    <w:rsid w:val="3DA4253A"/>
    <w:rsid w:val="3DA577C9"/>
    <w:rsid w:val="3DAA3985"/>
    <w:rsid w:val="3DB45B0E"/>
    <w:rsid w:val="3DBF5564"/>
    <w:rsid w:val="3DCD1D56"/>
    <w:rsid w:val="3DD11BB1"/>
    <w:rsid w:val="3DD43C75"/>
    <w:rsid w:val="3DD466BF"/>
    <w:rsid w:val="3DDA46D7"/>
    <w:rsid w:val="3DDF418F"/>
    <w:rsid w:val="3DE518D1"/>
    <w:rsid w:val="3DE57870"/>
    <w:rsid w:val="3DE622E5"/>
    <w:rsid w:val="3DE73092"/>
    <w:rsid w:val="3DFD3C49"/>
    <w:rsid w:val="3E0661CC"/>
    <w:rsid w:val="3E086ABE"/>
    <w:rsid w:val="3E0902EF"/>
    <w:rsid w:val="3E0F705B"/>
    <w:rsid w:val="3E127C9C"/>
    <w:rsid w:val="3E152240"/>
    <w:rsid w:val="3E2C6F93"/>
    <w:rsid w:val="3E2D39F5"/>
    <w:rsid w:val="3E321DAF"/>
    <w:rsid w:val="3E34266B"/>
    <w:rsid w:val="3E3643AC"/>
    <w:rsid w:val="3E3972B7"/>
    <w:rsid w:val="3E4014F4"/>
    <w:rsid w:val="3E454FAF"/>
    <w:rsid w:val="3E540389"/>
    <w:rsid w:val="3E572F58"/>
    <w:rsid w:val="3E610C36"/>
    <w:rsid w:val="3E67553F"/>
    <w:rsid w:val="3E693262"/>
    <w:rsid w:val="3E696E53"/>
    <w:rsid w:val="3E6A31A7"/>
    <w:rsid w:val="3E6B4F3D"/>
    <w:rsid w:val="3E71410C"/>
    <w:rsid w:val="3E731A8E"/>
    <w:rsid w:val="3E7D0584"/>
    <w:rsid w:val="3E7E0CB6"/>
    <w:rsid w:val="3E861791"/>
    <w:rsid w:val="3E8A7C20"/>
    <w:rsid w:val="3E8D4C6E"/>
    <w:rsid w:val="3E9778A6"/>
    <w:rsid w:val="3E9829B3"/>
    <w:rsid w:val="3E9C6D67"/>
    <w:rsid w:val="3EA0129B"/>
    <w:rsid w:val="3EA121FC"/>
    <w:rsid w:val="3EA53D32"/>
    <w:rsid w:val="3EAB146E"/>
    <w:rsid w:val="3EB153CA"/>
    <w:rsid w:val="3EB26230"/>
    <w:rsid w:val="3EB27113"/>
    <w:rsid w:val="3EB4393F"/>
    <w:rsid w:val="3EB63BEA"/>
    <w:rsid w:val="3EC65C38"/>
    <w:rsid w:val="3EC96450"/>
    <w:rsid w:val="3ED05DA2"/>
    <w:rsid w:val="3ED53826"/>
    <w:rsid w:val="3EE56D00"/>
    <w:rsid w:val="3EF5635D"/>
    <w:rsid w:val="3EFF2857"/>
    <w:rsid w:val="3F0329FC"/>
    <w:rsid w:val="3F052CF0"/>
    <w:rsid w:val="3F0C0070"/>
    <w:rsid w:val="3F0F4604"/>
    <w:rsid w:val="3F125912"/>
    <w:rsid w:val="3F1321F2"/>
    <w:rsid w:val="3F1A5CA2"/>
    <w:rsid w:val="3F1B5E62"/>
    <w:rsid w:val="3F254A9C"/>
    <w:rsid w:val="3F28786B"/>
    <w:rsid w:val="3F292632"/>
    <w:rsid w:val="3F2A6718"/>
    <w:rsid w:val="3F2C5972"/>
    <w:rsid w:val="3F33309A"/>
    <w:rsid w:val="3F3B0E1A"/>
    <w:rsid w:val="3F3C6738"/>
    <w:rsid w:val="3F3E5769"/>
    <w:rsid w:val="3F445E89"/>
    <w:rsid w:val="3F484ECA"/>
    <w:rsid w:val="3F592DF3"/>
    <w:rsid w:val="3F632014"/>
    <w:rsid w:val="3F641E9F"/>
    <w:rsid w:val="3F696CE7"/>
    <w:rsid w:val="3F6E4CD8"/>
    <w:rsid w:val="3F740F55"/>
    <w:rsid w:val="3F7A6806"/>
    <w:rsid w:val="3F7B5E8C"/>
    <w:rsid w:val="3F836714"/>
    <w:rsid w:val="3F85444C"/>
    <w:rsid w:val="3F897E9E"/>
    <w:rsid w:val="3F8C7143"/>
    <w:rsid w:val="3F90655B"/>
    <w:rsid w:val="3F913F82"/>
    <w:rsid w:val="3F92289F"/>
    <w:rsid w:val="3F967ED2"/>
    <w:rsid w:val="3F9825E8"/>
    <w:rsid w:val="3F987858"/>
    <w:rsid w:val="3F9D1079"/>
    <w:rsid w:val="3F9D22C1"/>
    <w:rsid w:val="3FA632F9"/>
    <w:rsid w:val="3FA7537A"/>
    <w:rsid w:val="3FAA5AE4"/>
    <w:rsid w:val="3FAA6869"/>
    <w:rsid w:val="3FB46678"/>
    <w:rsid w:val="3FB5279D"/>
    <w:rsid w:val="3FB71F98"/>
    <w:rsid w:val="3FBB4C77"/>
    <w:rsid w:val="3FC76631"/>
    <w:rsid w:val="3FC91E25"/>
    <w:rsid w:val="3FCC4741"/>
    <w:rsid w:val="3FD93B0A"/>
    <w:rsid w:val="3FDD151C"/>
    <w:rsid w:val="3FDD1F4F"/>
    <w:rsid w:val="3FDE0A45"/>
    <w:rsid w:val="3FE42BC9"/>
    <w:rsid w:val="3FE4713E"/>
    <w:rsid w:val="3FEC37C0"/>
    <w:rsid w:val="3FEC6AF7"/>
    <w:rsid w:val="3FEE2A15"/>
    <w:rsid w:val="3FF2031D"/>
    <w:rsid w:val="3FF461FC"/>
    <w:rsid w:val="3FF56F7E"/>
    <w:rsid w:val="3FF70B8F"/>
    <w:rsid w:val="40037C00"/>
    <w:rsid w:val="40052589"/>
    <w:rsid w:val="40115A36"/>
    <w:rsid w:val="401177EB"/>
    <w:rsid w:val="4012402D"/>
    <w:rsid w:val="401D554B"/>
    <w:rsid w:val="40211BBD"/>
    <w:rsid w:val="402B2AD3"/>
    <w:rsid w:val="402D5FD6"/>
    <w:rsid w:val="403C75F3"/>
    <w:rsid w:val="40402D5E"/>
    <w:rsid w:val="404B1F1C"/>
    <w:rsid w:val="4058484F"/>
    <w:rsid w:val="40595E09"/>
    <w:rsid w:val="4060623E"/>
    <w:rsid w:val="406A289D"/>
    <w:rsid w:val="406C3218"/>
    <w:rsid w:val="406D47EB"/>
    <w:rsid w:val="406D57E5"/>
    <w:rsid w:val="407C698C"/>
    <w:rsid w:val="407F255D"/>
    <w:rsid w:val="407F4772"/>
    <w:rsid w:val="40835D17"/>
    <w:rsid w:val="40861FD3"/>
    <w:rsid w:val="408A46FC"/>
    <w:rsid w:val="40910CA6"/>
    <w:rsid w:val="40921368"/>
    <w:rsid w:val="40A83990"/>
    <w:rsid w:val="40A87021"/>
    <w:rsid w:val="40B26920"/>
    <w:rsid w:val="40BB51CC"/>
    <w:rsid w:val="40C712C6"/>
    <w:rsid w:val="40C94354"/>
    <w:rsid w:val="40CA29DC"/>
    <w:rsid w:val="40CB4FE4"/>
    <w:rsid w:val="40D07D05"/>
    <w:rsid w:val="40D81A09"/>
    <w:rsid w:val="40DE3BFB"/>
    <w:rsid w:val="40E342BF"/>
    <w:rsid w:val="40E55784"/>
    <w:rsid w:val="40EB768D"/>
    <w:rsid w:val="40EE3E95"/>
    <w:rsid w:val="40F0094C"/>
    <w:rsid w:val="40F869A3"/>
    <w:rsid w:val="40FF1976"/>
    <w:rsid w:val="41045BB6"/>
    <w:rsid w:val="410567A8"/>
    <w:rsid w:val="410D2927"/>
    <w:rsid w:val="41122349"/>
    <w:rsid w:val="41164FB9"/>
    <w:rsid w:val="41241D0B"/>
    <w:rsid w:val="4125656E"/>
    <w:rsid w:val="412B40ED"/>
    <w:rsid w:val="41324C34"/>
    <w:rsid w:val="41390FF1"/>
    <w:rsid w:val="413C6DFC"/>
    <w:rsid w:val="414146EA"/>
    <w:rsid w:val="414E3AEC"/>
    <w:rsid w:val="41572C40"/>
    <w:rsid w:val="415D56C0"/>
    <w:rsid w:val="415F1ADA"/>
    <w:rsid w:val="4163063A"/>
    <w:rsid w:val="41657630"/>
    <w:rsid w:val="4166207A"/>
    <w:rsid w:val="41695DB0"/>
    <w:rsid w:val="416A5616"/>
    <w:rsid w:val="41725D2D"/>
    <w:rsid w:val="417461A9"/>
    <w:rsid w:val="41781ED3"/>
    <w:rsid w:val="417E04CA"/>
    <w:rsid w:val="418021C5"/>
    <w:rsid w:val="41827B94"/>
    <w:rsid w:val="41957B26"/>
    <w:rsid w:val="419868AD"/>
    <w:rsid w:val="41996F62"/>
    <w:rsid w:val="41AF56F9"/>
    <w:rsid w:val="41B86C10"/>
    <w:rsid w:val="41BC297D"/>
    <w:rsid w:val="41C45EBC"/>
    <w:rsid w:val="41CA2E5C"/>
    <w:rsid w:val="41CE5702"/>
    <w:rsid w:val="41D276A7"/>
    <w:rsid w:val="41D42E53"/>
    <w:rsid w:val="41D453CD"/>
    <w:rsid w:val="41D87963"/>
    <w:rsid w:val="41D92603"/>
    <w:rsid w:val="41D9774A"/>
    <w:rsid w:val="41E3014A"/>
    <w:rsid w:val="41E341FE"/>
    <w:rsid w:val="41E95403"/>
    <w:rsid w:val="41F30B89"/>
    <w:rsid w:val="41F63EE3"/>
    <w:rsid w:val="41F84E61"/>
    <w:rsid w:val="41FC261E"/>
    <w:rsid w:val="420073C3"/>
    <w:rsid w:val="42014036"/>
    <w:rsid w:val="42077D47"/>
    <w:rsid w:val="420C3D54"/>
    <w:rsid w:val="420E4E5E"/>
    <w:rsid w:val="4221162D"/>
    <w:rsid w:val="42222617"/>
    <w:rsid w:val="42232D98"/>
    <w:rsid w:val="4239038E"/>
    <w:rsid w:val="42436C48"/>
    <w:rsid w:val="424455BD"/>
    <w:rsid w:val="42492F1D"/>
    <w:rsid w:val="4255091D"/>
    <w:rsid w:val="425972B0"/>
    <w:rsid w:val="42610BBD"/>
    <w:rsid w:val="42632B54"/>
    <w:rsid w:val="426A5D13"/>
    <w:rsid w:val="42751766"/>
    <w:rsid w:val="4276281E"/>
    <w:rsid w:val="42777B5B"/>
    <w:rsid w:val="42810293"/>
    <w:rsid w:val="428265CE"/>
    <w:rsid w:val="42837EF1"/>
    <w:rsid w:val="4288182F"/>
    <w:rsid w:val="428C63C1"/>
    <w:rsid w:val="429A2C24"/>
    <w:rsid w:val="429F01C0"/>
    <w:rsid w:val="42A11CAD"/>
    <w:rsid w:val="42AA53C3"/>
    <w:rsid w:val="42AF0892"/>
    <w:rsid w:val="42B328FB"/>
    <w:rsid w:val="42B335F6"/>
    <w:rsid w:val="42B33C61"/>
    <w:rsid w:val="42B53731"/>
    <w:rsid w:val="42B71409"/>
    <w:rsid w:val="42BA4186"/>
    <w:rsid w:val="42BB6349"/>
    <w:rsid w:val="42C3467B"/>
    <w:rsid w:val="42CB2029"/>
    <w:rsid w:val="42D52CA7"/>
    <w:rsid w:val="42D570D2"/>
    <w:rsid w:val="42D82695"/>
    <w:rsid w:val="42DC2DC4"/>
    <w:rsid w:val="42EA11D2"/>
    <w:rsid w:val="42ED23D6"/>
    <w:rsid w:val="42EF0FFD"/>
    <w:rsid w:val="42F049FC"/>
    <w:rsid w:val="42F12F4B"/>
    <w:rsid w:val="42F22416"/>
    <w:rsid w:val="42F605BD"/>
    <w:rsid w:val="42F858EE"/>
    <w:rsid w:val="43086980"/>
    <w:rsid w:val="430B2AA7"/>
    <w:rsid w:val="431532A3"/>
    <w:rsid w:val="43172AE1"/>
    <w:rsid w:val="43176F22"/>
    <w:rsid w:val="431C37BC"/>
    <w:rsid w:val="43203DFD"/>
    <w:rsid w:val="43250EF3"/>
    <w:rsid w:val="4330181C"/>
    <w:rsid w:val="433B5DDF"/>
    <w:rsid w:val="433F210D"/>
    <w:rsid w:val="434D012E"/>
    <w:rsid w:val="434E438D"/>
    <w:rsid w:val="43521A13"/>
    <w:rsid w:val="43597F7F"/>
    <w:rsid w:val="43663CFD"/>
    <w:rsid w:val="43673BC4"/>
    <w:rsid w:val="436D4602"/>
    <w:rsid w:val="43713C1A"/>
    <w:rsid w:val="43776FC5"/>
    <w:rsid w:val="4379573D"/>
    <w:rsid w:val="437C06AF"/>
    <w:rsid w:val="437D6739"/>
    <w:rsid w:val="43850656"/>
    <w:rsid w:val="438859B1"/>
    <w:rsid w:val="43942E6F"/>
    <w:rsid w:val="439D2EAF"/>
    <w:rsid w:val="43A71B4D"/>
    <w:rsid w:val="43AA6DC4"/>
    <w:rsid w:val="43B256C2"/>
    <w:rsid w:val="43B736B9"/>
    <w:rsid w:val="43C0018E"/>
    <w:rsid w:val="43C53558"/>
    <w:rsid w:val="43C968F9"/>
    <w:rsid w:val="43CB1CC4"/>
    <w:rsid w:val="43CD0623"/>
    <w:rsid w:val="43D12220"/>
    <w:rsid w:val="43D132E0"/>
    <w:rsid w:val="43D72C01"/>
    <w:rsid w:val="43E843B3"/>
    <w:rsid w:val="43EC41CE"/>
    <w:rsid w:val="43ED338A"/>
    <w:rsid w:val="43EF7DC1"/>
    <w:rsid w:val="43F171CD"/>
    <w:rsid w:val="43FF241A"/>
    <w:rsid w:val="44014640"/>
    <w:rsid w:val="440662A3"/>
    <w:rsid w:val="4407343B"/>
    <w:rsid w:val="4407792B"/>
    <w:rsid w:val="440B3AD1"/>
    <w:rsid w:val="440E290D"/>
    <w:rsid w:val="440F5E98"/>
    <w:rsid w:val="44140DB2"/>
    <w:rsid w:val="441504EB"/>
    <w:rsid w:val="441E66AC"/>
    <w:rsid w:val="44274DEF"/>
    <w:rsid w:val="44280F1B"/>
    <w:rsid w:val="44294867"/>
    <w:rsid w:val="4429697C"/>
    <w:rsid w:val="44395803"/>
    <w:rsid w:val="44431F7F"/>
    <w:rsid w:val="444704EB"/>
    <w:rsid w:val="44477F26"/>
    <w:rsid w:val="44506DEE"/>
    <w:rsid w:val="445334C1"/>
    <w:rsid w:val="4461021F"/>
    <w:rsid w:val="44636D6D"/>
    <w:rsid w:val="446B7C2F"/>
    <w:rsid w:val="446E4996"/>
    <w:rsid w:val="447049BB"/>
    <w:rsid w:val="44772F58"/>
    <w:rsid w:val="4479565E"/>
    <w:rsid w:val="447C5AAC"/>
    <w:rsid w:val="4484609C"/>
    <w:rsid w:val="448779E2"/>
    <w:rsid w:val="448B6A74"/>
    <w:rsid w:val="448C0F6F"/>
    <w:rsid w:val="44965E1B"/>
    <w:rsid w:val="44A07D08"/>
    <w:rsid w:val="44B17555"/>
    <w:rsid w:val="44BA3F47"/>
    <w:rsid w:val="44BB6D79"/>
    <w:rsid w:val="44C4575F"/>
    <w:rsid w:val="44C5513F"/>
    <w:rsid w:val="44CA3AE1"/>
    <w:rsid w:val="44D170CD"/>
    <w:rsid w:val="44D232E3"/>
    <w:rsid w:val="44D60E2B"/>
    <w:rsid w:val="44DE3659"/>
    <w:rsid w:val="44E10331"/>
    <w:rsid w:val="44F523E0"/>
    <w:rsid w:val="44F60B3D"/>
    <w:rsid w:val="44F61218"/>
    <w:rsid w:val="44F66CCD"/>
    <w:rsid w:val="44F8166F"/>
    <w:rsid w:val="44FE6600"/>
    <w:rsid w:val="450C0DF5"/>
    <w:rsid w:val="45132519"/>
    <w:rsid w:val="45141349"/>
    <w:rsid w:val="451C3D58"/>
    <w:rsid w:val="451E276D"/>
    <w:rsid w:val="451F0565"/>
    <w:rsid w:val="452631AA"/>
    <w:rsid w:val="45295350"/>
    <w:rsid w:val="45300692"/>
    <w:rsid w:val="4536479A"/>
    <w:rsid w:val="4537240F"/>
    <w:rsid w:val="4538011F"/>
    <w:rsid w:val="454A3A8F"/>
    <w:rsid w:val="454F1400"/>
    <w:rsid w:val="45520EB5"/>
    <w:rsid w:val="455864B5"/>
    <w:rsid w:val="455C1DF4"/>
    <w:rsid w:val="455D1AF4"/>
    <w:rsid w:val="45614FC3"/>
    <w:rsid w:val="45653FC7"/>
    <w:rsid w:val="456858F5"/>
    <w:rsid w:val="4570071C"/>
    <w:rsid w:val="45751F3E"/>
    <w:rsid w:val="457541BB"/>
    <w:rsid w:val="45774D17"/>
    <w:rsid w:val="4586585B"/>
    <w:rsid w:val="45875244"/>
    <w:rsid w:val="458A3131"/>
    <w:rsid w:val="458B1EE9"/>
    <w:rsid w:val="458C153C"/>
    <w:rsid w:val="45945FF1"/>
    <w:rsid w:val="459F33DD"/>
    <w:rsid w:val="45A70AF7"/>
    <w:rsid w:val="45A936B3"/>
    <w:rsid w:val="45B452DD"/>
    <w:rsid w:val="45C52D84"/>
    <w:rsid w:val="45C9424C"/>
    <w:rsid w:val="45D53920"/>
    <w:rsid w:val="45E02A39"/>
    <w:rsid w:val="45EC497B"/>
    <w:rsid w:val="45EE1D9A"/>
    <w:rsid w:val="45F3697E"/>
    <w:rsid w:val="45F64BD8"/>
    <w:rsid w:val="460A79C5"/>
    <w:rsid w:val="46141B20"/>
    <w:rsid w:val="461A0BFC"/>
    <w:rsid w:val="461B5F7F"/>
    <w:rsid w:val="4622003D"/>
    <w:rsid w:val="462211FB"/>
    <w:rsid w:val="463A3A1B"/>
    <w:rsid w:val="46422AAA"/>
    <w:rsid w:val="464419C9"/>
    <w:rsid w:val="46466C71"/>
    <w:rsid w:val="4647138C"/>
    <w:rsid w:val="4650322B"/>
    <w:rsid w:val="46545B6D"/>
    <w:rsid w:val="465649D2"/>
    <w:rsid w:val="46564EEF"/>
    <w:rsid w:val="46572223"/>
    <w:rsid w:val="46574EA6"/>
    <w:rsid w:val="46634CEF"/>
    <w:rsid w:val="466671BA"/>
    <w:rsid w:val="466F0FE1"/>
    <w:rsid w:val="466F376A"/>
    <w:rsid w:val="4675242D"/>
    <w:rsid w:val="46791E40"/>
    <w:rsid w:val="46811344"/>
    <w:rsid w:val="46854387"/>
    <w:rsid w:val="46891818"/>
    <w:rsid w:val="468E48A6"/>
    <w:rsid w:val="468F0A0E"/>
    <w:rsid w:val="468F5748"/>
    <w:rsid w:val="469B5887"/>
    <w:rsid w:val="469C29A3"/>
    <w:rsid w:val="469E0382"/>
    <w:rsid w:val="469E111F"/>
    <w:rsid w:val="469F44A3"/>
    <w:rsid w:val="46A044CB"/>
    <w:rsid w:val="46A44F10"/>
    <w:rsid w:val="46A92540"/>
    <w:rsid w:val="46AD778F"/>
    <w:rsid w:val="46AF33A2"/>
    <w:rsid w:val="46B00221"/>
    <w:rsid w:val="46B1291C"/>
    <w:rsid w:val="46B95056"/>
    <w:rsid w:val="46BB63D6"/>
    <w:rsid w:val="46C01330"/>
    <w:rsid w:val="46C055D6"/>
    <w:rsid w:val="46CA6877"/>
    <w:rsid w:val="46CB08B5"/>
    <w:rsid w:val="46D44060"/>
    <w:rsid w:val="46D87921"/>
    <w:rsid w:val="46E36838"/>
    <w:rsid w:val="46EA777C"/>
    <w:rsid w:val="46ED7970"/>
    <w:rsid w:val="46EE25D0"/>
    <w:rsid w:val="46EE3AEB"/>
    <w:rsid w:val="46F80D92"/>
    <w:rsid w:val="470112D1"/>
    <w:rsid w:val="471C49BA"/>
    <w:rsid w:val="472043DB"/>
    <w:rsid w:val="47256DA2"/>
    <w:rsid w:val="472653C1"/>
    <w:rsid w:val="472C69DF"/>
    <w:rsid w:val="472D7A65"/>
    <w:rsid w:val="47312633"/>
    <w:rsid w:val="47346EFA"/>
    <w:rsid w:val="4739655F"/>
    <w:rsid w:val="4749693A"/>
    <w:rsid w:val="474A0981"/>
    <w:rsid w:val="474D52A6"/>
    <w:rsid w:val="4759639B"/>
    <w:rsid w:val="476D136F"/>
    <w:rsid w:val="476E686F"/>
    <w:rsid w:val="47752ACA"/>
    <w:rsid w:val="47753815"/>
    <w:rsid w:val="477E388B"/>
    <w:rsid w:val="477E4E3A"/>
    <w:rsid w:val="478207AE"/>
    <w:rsid w:val="478F1EAB"/>
    <w:rsid w:val="4791112C"/>
    <w:rsid w:val="47951E3A"/>
    <w:rsid w:val="47966882"/>
    <w:rsid w:val="479B518B"/>
    <w:rsid w:val="47A20F2D"/>
    <w:rsid w:val="47AE5526"/>
    <w:rsid w:val="47AE6A1F"/>
    <w:rsid w:val="47B01503"/>
    <w:rsid w:val="47BB0608"/>
    <w:rsid w:val="47BB3F27"/>
    <w:rsid w:val="47CA4A80"/>
    <w:rsid w:val="47CB6C89"/>
    <w:rsid w:val="47D41A3A"/>
    <w:rsid w:val="47D838E4"/>
    <w:rsid w:val="47D87474"/>
    <w:rsid w:val="47D87675"/>
    <w:rsid w:val="47DD693B"/>
    <w:rsid w:val="47DE1460"/>
    <w:rsid w:val="47E02C4F"/>
    <w:rsid w:val="47E23252"/>
    <w:rsid w:val="47E838E9"/>
    <w:rsid w:val="47E94DE2"/>
    <w:rsid w:val="47EC51AD"/>
    <w:rsid w:val="47F42611"/>
    <w:rsid w:val="47F804F7"/>
    <w:rsid w:val="47FE5D7A"/>
    <w:rsid w:val="47FF5FAA"/>
    <w:rsid w:val="47FF71AB"/>
    <w:rsid w:val="48014800"/>
    <w:rsid w:val="48076224"/>
    <w:rsid w:val="480A3F4D"/>
    <w:rsid w:val="480B5F59"/>
    <w:rsid w:val="481016A9"/>
    <w:rsid w:val="481D5126"/>
    <w:rsid w:val="482708DB"/>
    <w:rsid w:val="48282265"/>
    <w:rsid w:val="482C6A4E"/>
    <w:rsid w:val="482C7282"/>
    <w:rsid w:val="482F514B"/>
    <w:rsid w:val="48313474"/>
    <w:rsid w:val="48314681"/>
    <w:rsid w:val="4833157F"/>
    <w:rsid w:val="4837041A"/>
    <w:rsid w:val="48386F22"/>
    <w:rsid w:val="484B36DF"/>
    <w:rsid w:val="484C6757"/>
    <w:rsid w:val="48555ED1"/>
    <w:rsid w:val="485872C1"/>
    <w:rsid w:val="485D078E"/>
    <w:rsid w:val="486336B2"/>
    <w:rsid w:val="48681CCE"/>
    <w:rsid w:val="487429ED"/>
    <w:rsid w:val="487D1CBC"/>
    <w:rsid w:val="487D24E0"/>
    <w:rsid w:val="487F5396"/>
    <w:rsid w:val="4880097C"/>
    <w:rsid w:val="488C0463"/>
    <w:rsid w:val="488F17BC"/>
    <w:rsid w:val="48921950"/>
    <w:rsid w:val="489543FE"/>
    <w:rsid w:val="489D2C9F"/>
    <w:rsid w:val="48A0012A"/>
    <w:rsid w:val="48AA6C9D"/>
    <w:rsid w:val="48AD563F"/>
    <w:rsid w:val="48B45B96"/>
    <w:rsid w:val="48B87799"/>
    <w:rsid w:val="48B97B0E"/>
    <w:rsid w:val="48BB1589"/>
    <w:rsid w:val="48BC1B0B"/>
    <w:rsid w:val="48BD6A70"/>
    <w:rsid w:val="48BF2010"/>
    <w:rsid w:val="48C01EAE"/>
    <w:rsid w:val="48C978B3"/>
    <w:rsid w:val="48CA010B"/>
    <w:rsid w:val="48D10C7B"/>
    <w:rsid w:val="48E1648A"/>
    <w:rsid w:val="48E56087"/>
    <w:rsid w:val="48E87E97"/>
    <w:rsid w:val="48E92300"/>
    <w:rsid w:val="48F60F32"/>
    <w:rsid w:val="49021432"/>
    <w:rsid w:val="49085980"/>
    <w:rsid w:val="490A78D9"/>
    <w:rsid w:val="49172A99"/>
    <w:rsid w:val="491D2FC1"/>
    <w:rsid w:val="491E5DBE"/>
    <w:rsid w:val="492041DE"/>
    <w:rsid w:val="492504DE"/>
    <w:rsid w:val="49287E2A"/>
    <w:rsid w:val="49366912"/>
    <w:rsid w:val="49391300"/>
    <w:rsid w:val="49432569"/>
    <w:rsid w:val="494B3F82"/>
    <w:rsid w:val="49533722"/>
    <w:rsid w:val="495447F2"/>
    <w:rsid w:val="495D4F4B"/>
    <w:rsid w:val="49603C27"/>
    <w:rsid w:val="4969295F"/>
    <w:rsid w:val="498C0135"/>
    <w:rsid w:val="498E006E"/>
    <w:rsid w:val="49917228"/>
    <w:rsid w:val="499601D0"/>
    <w:rsid w:val="499A7CDE"/>
    <w:rsid w:val="499D17E8"/>
    <w:rsid w:val="49A333BF"/>
    <w:rsid w:val="49A37C1F"/>
    <w:rsid w:val="49A90D22"/>
    <w:rsid w:val="49B06CF0"/>
    <w:rsid w:val="49B07107"/>
    <w:rsid w:val="49B43334"/>
    <w:rsid w:val="49B50FCF"/>
    <w:rsid w:val="49C40AD3"/>
    <w:rsid w:val="49CB3272"/>
    <w:rsid w:val="49D26F63"/>
    <w:rsid w:val="49D467CE"/>
    <w:rsid w:val="49D74613"/>
    <w:rsid w:val="49D80D89"/>
    <w:rsid w:val="49D864A1"/>
    <w:rsid w:val="49DC054E"/>
    <w:rsid w:val="49DC18E2"/>
    <w:rsid w:val="49E90B77"/>
    <w:rsid w:val="49E92E37"/>
    <w:rsid w:val="49EF45CA"/>
    <w:rsid w:val="49F42FC9"/>
    <w:rsid w:val="49F45A1F"/>
    <w:rsid w:val="49F4766A"/>
    <w:rsid w:val="49F77B36"/>
    <w:rsid w:val="4A0277CD"/>
    <w:rsid w:val="4A030085"/>
    <w:rsid w:val="4A077BD7"/>
    <w:rsid w:val="4A0A5106"/>
    <w:rsid w:val="4A0F5DE1"/>
    <w:rsid w:val="4A167D4E"/>
    <w:rsid w:val="4A1958FD"/>
    <w:rsid w:val="4A1A3F4D"/>
    <w:rsid w:val="4A1E0E40"/>
    <w:rsid w:val="4A2117DB"/>
    <w:rsid w:val="4A262E50"/>
    <w:rsid w:val="4A334991"/>
    <w:rsid w:val="4A344F73"/>
    <w:rsid w:val="4A365275"/>
    <w:rsid w:val="4A366BDA"/>
    <w:rsid w:val="4A4333DC"/>
    <w:rsid w:val="4A472F13"/>
    <w:rsid w:val="4A4819B2"/>
    <w:rsid w:val="4A4B4166"/>
    <w:rsid w:val="4A6766A0"/>
    <w:rsid w:val="4A6B04B1"/>
    <w:rsid w:val="4A710F47"/>
    <w:rsid w:val="4A725665"/>
    <w:rsid w:val="4A742650"/>
    <w:rsid w:val="4A814CDA"/>
    <w:rsid w:val="4A815A39"/>
    <w:rsid w:val="4A851609"/>
    <w:rsid w:val="4A876BD5"/>
    <w:rsid w:val="4A89184A"/>
    <w:rsid w:val="4A8C3B4B"/>
    <w:rsid w:val="4A936A77"/>
    <w:rsid w:val="4A9C5F4C"/>
    <w:rsid w:val="4A9F7002"/>
    <w:rsid w:val="4AA25478"/>
    <w:rsid w:val="4AA954C7"/>
    <w:rsid w:val="4AB20A59"/>
    <w:rsid w:val="4AB4515B"/>
    <w:rsid w:val="4AB851A6"/>
    <w:rsid w:val="4ABE6CCD"/>
    <w:rsid w:val="4AC03BAB"/>
    <w:rsid w:val="4AC60E46"/>
    <w:rsid w:val="4ACF2BCD"/>
    <w:rsid w:val="4AD273B4"/>
    <w:rsid w:val="4AE07137"/>
    <w:rsid w:val="4AE10CEB"/>
    <w:rsid w:val="4AE40013"/>
    <w:rsid w:val="4AE75C98"/>
    <w:rsid w:val="4AE918E2"/>
    <w:rsid w:val="4AEA2DD3"/>
    <w:rsid w:val="4AEB4793"/>
    <w:rsid w:val="4AEE62C5"/>
    <w:rsid w:val="4AFD2E4D"/>
    <w:rsid w:val="4B02522B"/>
    <w:rsid w:val="4B0552E3"/>
    <w:rsid w:val="4B1146CB"/>
    <w:rsid w:val="4B13178B"/>
    <w:rsid w:val="4B1D0A24"/>
    <w:rsid w:val="4B227A40"/>
    <w:rsid w:val="4B2657DA"/>
    <w:rsid w:val="4B286638"/>
    <w:rsid w:val="4B29405F"/>
    <w:rsid w:val="4B320FDD"/>
    <w:rsid w:val="4B3264C8"/>
    <w:rsid w:val="4B341E4B"/>
    <w:rsid w:val="4B40717A"/>
    <w:rsid w:val="4B4F47CC"/>
    <w:rsid w:val="4B506E62"/>
    <w:rsid w:val="4B5556DC"/>
    <w:rsid w:val="4B5C5001"/>
    <w:rsid w:val="4B5E532E"/>
    <w:rsid w:val="4B5E55E2"/>
    <w:rsid w:val="4B62513B"/>
    <w:rsid w:val="4B6B74E7"/>
    <w:rsid w:val="4B703DA9"/>
    <w:rsid w:val="4B7169D4"/>
    <w:rsid w:val="4B820CB4"/>
    <w:rsid w:val="4B8579A1"/>
    <w:rsid w:val="4B870045"/>
    <w:rsid w:val="4B88263C"/>
    <w:rsid w:val="4B891E94"/>
    <w:rsid w:val="4B9354BF"/>
    <w:rsid w:val="4B971365"/>
    <w:rsid w:val="4B9820B4"/>
    <w:rsid w:val="4B9D42A3"/>
    <w:rsid w:val="4BA860EA"/>
    <w:rsid w:val="4BAB3C39"/>
    <w:rsid w:val="4BB061CC"/>
    <w:rsid w:val="4BB43E85"/>
    <w:rsid w:val="4BB74C69"/>
    <w:rsid w:val="4BB931C0"/>
    <w:rsid w:val="4BBF2D51"/>
    <w:rsid w:val="4BBF4AF0"/>
    <w:rsid w:val="4BC04353"/>
    <w:rsid w:val="4BCC7A7D"/>
    <w:rsid w:val="4BCF0648"/>
    <w:rsid w:val="4BD97F59"/>
    <w:rsid w:val="4BDC5E0F"/>
    <w:rsid w:val="4BE33054"/>
    <w:rsid w:val="4BEA2F99"/>
    <w:rsid w:val="4BEB256E"/>
    <w:rsid w:val="4BF50335"/>
    <w:rsid w:val="4BFE0D6A"/>
    <w:rsid w:val="4BFE39C2"/>
    <w:rsid w:val="4C047359"/>
    <w:rsid w:val="4C063590"/>
    <w:rsid w:val="4C1A17AA"/>
    <w:rsid w:val="4C1C6C79"/>
    <w:rsid w:val="4C255CC3"/>
    <w:rsid w:val="4C2F2D78"/>
    <w:rsid w:val="4C3D0C24"/>
    <w:rsid w:val="4C3E2A23"/>
    <w:rsid w:val="4C480115"/>
    <w:rsid w:val="4C48167B"/>
    <w:rsid w:val="4C4E1120"/>
    <w:rsid w:val="4C510BCF"/>
    <w:rsid w:val="4C5878BA"/>
    <w:rsid w:val="4C64533A"/>
    <w:rsid w:val="4C661C1C"/>
    <w:rsid w:val="4C670406"/>
    <w:rsid w:val="4C725A2B"/>
    <w:rsid w:val="4C75689C"/>
    <w:rsid w:val="4C76253F"/>
    <w:rsid w:val="4C7746D2"/>
    <w:rsid w:val="4C795CD3"/>
    <w:rsid w:val="4C7D1078"/>
    <w:rsid w:val="4C7E5A0B"/>
    <w:rsid w:val="4C851F80"/>
    <w:rsid w:val="4C863790"/>
    <w:rsid w:val="4C895B76"/>
    <w:rsid w:val="4C8D64FE"/>
    <w:rsid w:val="4C8D7800"/>
    <w:rsid w:val="4C8E06BE"/>
    <w:rsid w:val="4C9475F9"/>
    <w:rsid w:val="4C9A6450"/>
    <w:rsid w:val="4C9E50A7"/>
    <w:rsid w:val="4CAD6457"/>
    <w:rsid w:val="4CB53967"/>
    <w:rsid w:val="4CB92D49"/>
    <w:rsid w:val="4CBC2253"/>
    <w:rsid w:val="4CBD1C7E"/>
    <w:rsid w:val="4CC01EB2"/>
    <w:rsid w:val="4CCD26E6"/>
    <w:rsid w:val="4CD22889"/>
    <w:rsid w:val="4CD93B87"/>
    <w:rsid w:val="4CDA096F"/>
    <w:rsid w:val="4CDD76AD"/>
    <w:rsid w:val="4CE05B3F"/>
    <w:rsid w:val="4CE90F4B"/>
    <w:rsid w:val="4CEA36DA"/>
    <w:rsid w:val="4CEF6C28"/>
    <w:rsid w:val="4CF03A78"/>
    <w:rsid w:val="4CF2235C"/>
    <w:rsid w:val="4CF764AE"/>
    <w:rsid w:val="4D004728"/>
    <w:rsid w:val="4D0265C3"/>
    <w:rsid w:val="4D056697"/>
    <w:rsid w:val="4D0F4FDF"/>
    <w:rsid w:val="4D162B30"/>
    <w:rsid w:val="4D262164"/>
    <w:rsid w:val="4D28618E"/>
    <w:rsid w:val="4D2930DD"/>
    <w:rsid w:val="4D29592B"/>
    <w:rsid w:val="4D2A6955"/>
    <w:rsid w:val="4D3457BA"/>
    <w:rsid w:val="4D3B1A55"/>
    <w:rsid w:val="4D3D6CE6"/>
    <w:rsid w:val="4D4579D2"/>
    <w:rsid w:val="4D4E7D14"/>
    <w:rsid w:val="4D593EA6"/>
    <w:rsid w:val="4D5B01CC"/>
    <w:rsid w:val="4D6220CC"/>
    <w:rsid w:val="4D624827"/>
    <w:rsid w:val="4D684320"/>
    <w:rsid w:val="4D6C62BC"/>
    <w:rsid w:val="4D6F73FB"/>
    <w:rsid w:val="4D78757A"/>
    <w:rsid w:val="4D85670A"/>
    <w:rsid w:val="4D891E01"/>
    <w:rsid w:val="4D8D536D"/>
    <w:rsid w:val="4D907200"/>
    <w:rsid w:val="4D99242A"/>
    <w:rsid w:val="4D9B0C7E"/>
    <w:rsid w:val="4D9B70DA"/>
    <w:rsid w:val="4DA121C6"/>
    <w:rsid w:val="4DA878AB"/>
    <w:rsid w:val="4DAA51A1"/>
    <w:rsid w:val="4DAC2E09"/>
    <w:rsid w:val="4DAF20F2"/>
    <w:rsid w:val="4DBB6EC8"/>
    <w:rsid w:val="4DBE4579"/>
    <w:rsid w:val="4DC732FB"/>
    <w:rsid w:val="4DD64CA3"/>
    <w:rsid w:val="4DD7622E"/>
    <w:rsid w:val="4DDD1E2E"/>
    <w:rsid w:val="4DE017F0"/>
    <w:rsid w:val="4DE14C8D"/>
    <w:rsid w:val="4DE3792F"/>
    <w:rsid w:val="4DE904E0"/>
    <w:rsid w:val="4DEB17E5"/>
    <w:rsid w:val="4DF71D22"/>
    <w:rsid w:val="4DFE13F3"/>
    <w:rsid w:val="4DFF7859"/>
    <w:rsid w:val="4E042654"/>
    <w:rsid w:val="4E05048A"/>
    <w:rsid w:val="4E0E343E"/>
    <w:rsid w:val="4E156075"/>
    <w:rsid w:val="4E1E08FD"/>
    <w:rsid w:val="4E26789A"/>
    <w:rsid w:val="4E290865"/>
    <w:rsid w:val="4E306232"/>
    <w:rsid w:val="4E33542E"/>
    <w:rsid w:val="4E3D2F4C"/>
    <w:rsid w:val="4E46687C"/>
    <w:rsid w:val="4E481074"/>
    <w:rsid w:val="4E4C16A0"/>
    <w:rsid w:val="4E4D4C9E"/>
    <w:rsid w:val="4E4D62B8"/>
    <w:rsid w:val="4E61122D"/>
    <w:rsid w:val="4E6138FB"/>
    <w:rsid w:val="4E685CC8"/>
    <w:rsid w:val="4E6F1A3E"/>
    <w:rsid w:val="4E7C7A42"/>
    <w:rsid w:val="4E7E1973"/>
    <w:rsid w:val="4E904C80"/>
    <w:rsid w:val="4E9079AE"/>
    <w:rsid w:val="4E950023"/>
    <w:rsid w:val="4E98322A"/>
    <w:rsid w:val="4E9C2F9A"/>
    <w:rsid w:val="4EA465BE"/>
    <w:rsid w:val="4EA529CE"/>
    <w:rsid w:val="4EA75DCC"/>
    <w:rsid w:val="4EAE7EBD"/>
    <w:rsid w:val="4EB05F16"/>
    <w:rsid w:val="4ED35AF9"/>
    <w:rsid w:val="4ED71931"/>
    <w:rsid w:val="4EDA68F3"/>
    <w:rsid w:val="4EE12122"/>
    <w:rsid w:val="4EE15ABF"/>
    <w:rsid w:val="4EE7208E"/>
    <w:rsid w:val="4EE819F7"/>
    <w:rsid w:val="4EF032D3"/>
    <w:rsid w:val="4EF04A33"/>
    <w:rsid w:val="4EF501F7"/>
    <w:rsid w:val="4F075636"/>
    <w:rsid w:val="4F0B0398"/>
    <w:rsid w:val="4F0E0AED"/>
    <w:rsid w:val="4F0E53A3"/>
    <w:rsid w:val="4F14641C"/>
    <w:rsid w:val="4F1477F5"/>
    <w:rsid w:val="4F19213F"/>
    <w:rsid w:val="4F1C5D16"/>
    <w:rsid w:val="4F1D5AF5"/>
    <w:rsid w:val="4F2B4088"/>
    <w:rsid w:val="4F2B6796"/>
    <w:rsid w:val="4F2F0144"/>
    <w:rsid w:val="4F3050FD"/>
    <w:rsid w:val="4F391107"/>
    <w:rsid w:val="4F3F72FA"/>
    <w:rsid w:val="4F444C61"/>
    <w:rsid w:val="4F4830A2"/>
    <w:rsid w:val="4F4A04AF"/>
    <w:rsid w:val="4F4E52DF"/>
    <w:rsid w:val="4F557512"/>
    <w:rsid w:val="4F5605AD"/>
    <w:rsid w:val="4F564566"/>
    <w:rsid w:val="4F57196C"/>
    <w:rsid w:val="4F6314A4"/>
    <w:rsid w:val="4F662861"/>
    <w:rsid w:val="4F69157C"/>
    <w:rsid w:val="4F6B6734"/>
    <w:rsid w:val="4F735D13"/>
    <w:rsid w:val="4F7E7938"/>
    <w:rsid w:val="4F8056F9"/>
    <w:rsid w:val="4F823856"/>
    <w:rsid w:val="4F873111"/>
    <w:rsid w:val="4F915923"/>
    <w:rsid w:val="4F93790D"/>
    <w:rsid w:val="4F940CC3"/>
    <w:rsid w:val="4F9D3BC2"/>
    <w:rsid w:val="4F9E5DF4"/>
    <w:rsid w:val="4FAB7A6F"/>
    <w:rsid w:val="4FAC6F70"/>
    <w:rsid w:val="4FB07655"/>
    <w:rsid w:val="4FB12163"/>
    <w:rsid w:val="4FB41F08"/>
    <w:rsid w:val="4FB46E5C"/>
    <w:rsid w:val="4FB96CCB"/>
    <w:rsid w:val="4FBF2401"/>
    <w:rsid w:val="4FC431E4"/>
    <w:rsid w:val="4FC83C87"/>
    <w:rsid w:val="4FCE7AEB"/>
    <w:rsid w:val="4FD51E1C"/>
    <w:rsid w:val="4FD91BA2"/>
    <w:rsid w:val="4FDC108B"/>
    <w:rsid w:val="4FDC377D"/>
    <w:rsid w:val="4FDD4657"/>
    <w:rsid w:val="4FDE3CAF"/>
    <w:rsid w:val="4FDF64FE"/>
    <w:rsid w:val="4FE66030"/>
    <w:rsid w:val="4FE672A4"/>
    <w:rsid w:val="4FE9410B"/>
    <w:rsid w:val="4FEC605E"/>
    <w:rsid w:val="4FF550BD"/>
    <w:rsid w:val="4FFB32FB"/>
    <w:rsid w:val="500209D4"/>
    <w:rsid w:val="500F0EA9"/>
    <w:rsid w:val="501362B1"/>
    <w:rsid w:val="50160957"/>
    <w:rsid w:val="501D3450"/>
    <w:rsid w:val="50213603"/>
    <w:rsid w:val="502B53A1"/>
    <w:rsid w:val="502C18C0"/>
    <w:rsid w:val="50331087"/>
    <w:rsid w:val="50341792"/>
    <w:rsid w:val="503D37EA"/>
    <w:rsid w:val="503E6E5E"/>
    <w:rsid w:val="50414058"/>
    <w:rsid w:val="50420028"/>
    <w:rsid w:val="504B545C"/>
    <w:rsid w:val="504F454A"/>
    <w:rsid w:val="50571BC3"/>
    <w:rsid w:val="505D441E"/>
    <w:rsid w:val="505E5DC4"/>
    <w:rsid w:val="50601CBC"/>
    <w:rsid w:val="50734758"/>
    <w:rsid w:val="50754549"/>
    <w:rsid w:val="5075457F"/>
    <w:rsid w:val="507577CD"/>
    <w:rsid w:val="50784012"/>
    <w:rsid w:val="50791A93"/>
    <w:rsid w:val="507E179E"/>
    <w:rsid w:val="50825952"/>
    <w:rsid w:val="50861C5A"/>
    <w:rsid w:val="508F624A"/>
    <w:rsid w:val="509C38A3"/>
    <w:rsid w:val="50A61336"/>
    <w:rsid w:val="50AE2526"/>
    <w:rsid w:val="50B004F6"/>
    <w:rsid w:val="50B4392D"/>
    <w:rsid w:val="50BF0F55"/>
    <w:rsid w:val="50C20F8E"/>
    <w:rsid w:val="50CD789E"/>
    <w:rsid w:val="50D07E17"/>
    <w:rsid w:val="50D310EB"/>
    <w:rsid w:val="50D6119C"/>
    <w:rsid w:val="50DD6EFB"/>
    <w:rsid w:val="50E10E82"/>
    <w:rsid w:val="50E91BD5"/>
    <w:rsid w:val="50E95541"/>
    <w:rsid w:val="50EF076E"/>
    <w:rsid w:val="50EF1DAD"/>
    <w:rsid w:val="50EF34B9"/>
    <w:rsid w:val="50F85F41"/>
    <w:rsid w:val="50FE4090"/>
    <w:rsid w:val="5119199D"/>
    <w:rsid w:val="51192EC1"/>
    <w:rsid w:val="511B0709"/>
    <w:rsid w:val="51285275"/>
    <w:rsid w:val="512D0F0D"/>
    <w:rsid w:val="513B7D59"/>
    <w:rsid w:val="513D14D0"/>
    <w:rsid w:val="51405BEB"/>
    <w:rsid w:val="51423622"/>
    <w:rsid w:val="51423E38"/>
    <w:rsid w:val="514331A4"/>
    <w:rsid w:val="514954EF"/>
    <w:rsid w:val="514D641F"/>
    <w:rsid w:val="514D75B0"/>
    <w:rsid w:val="51562A4F"/>
    <w:rsid w:val="51576D70"/>
    <w:rsid w:val="515B2FCF"/>
    <w:rsid w:val="515B385D"/>
    <w:rsid w:val="51635248"/>
    <w:rsid w:val="516B3544"/>
    <w:rsid w:val="51701AE4"/>
    <w:rsid w:val="517348B7"/>
    <w:rsid w:val="51760434"/>
    <w:rsid w:val="517B025B"/>
    <w:rsid w:val="5180622A"/>
    <w:rsid w:val="51874682"/>
    <w:rsid w:val="518A4E5D"/>
    <w:rsid w:val="519A083F"/>
    <w:rsid w:val="519B1123"/>
    <w:rsid w:val="51A51E5B"/>
    <w:rsid w:val="51A749D8"/>
    <w:rsid w:val="51AB05F3"/>
    <w:rsid w:val="51AD4246"/>
    <w:rsid w:val="51AF08EB"/>
    <w:rsid w:val="51B62D23"/>
    <w:rsid w:val="51C6458B"/>
    <w:rsid w:val="51C750F1"/>
    <w:rsid w:val="51CB6D03"/>
    <w:rsid w:val="51D03721"/>
    <w:rsid w:val="51D63898"/>
    <w:rsid w:val="51D960BE"/>
    <w:rsid w:val="51E619F2"/>
    <w:rsid w:val="51E674A8"/>
    <w:rsid w:val="51E73595"/>
    <w:rsid w:val="51E777E8"/>
    <w:rsid w:val="51EC715D"/>
    <w:rsid w:val="51EE424D"/>
    <w:rsid w:val="51F1015F"/>
    <w:rsid w:val="51F747A0"/>
    <w:rsid w:val="51FF0996"/>
    <w:rsid w:val="5200752D"/>
    <w:rsid w:val="5201308A"/>
    <w:rsid w:val="52013E99"/>
    <w:rsid w:val="520F0C30"/>
    <w:rsid w:val="52110BE6"/>
    <w:rsid w:val="521F3C61"/>
    <w:rsid w:val="522555C3"/>
    <w:rsid w:val="522A7567"/>
    <w:rsid w:val="523105DE"/>
    <w:rsid w:val="52324AF1"/>
    <w:rsid w:val="52325762"/>
    <w:rsid w:val="523E18AB"/>
    <w:rsid w:val="523F4B54"/>
    <w:rsid w:val="52401468"/>
    <w:rsid w:val="52447EE5"/>
    <w:rsid w:val="5248734B"/>
    <w:rsid w:val="5258197E"/>
    <w:rsid w:val="526016C1"/>
    <w:rsid w:val="52796B99"/>
    <w:rsid w:val="527D1264"/>
    <w:rsid w:val="52830761"/>
    <w:rsid w:val="52870B75"/>
    <w:rsid w:val="52873D55"/>
    <w:rsid w:val="528801B6"/>
    <w:rsid w:val="52900531"/>
    <w:rsid w:val="52932EC0"/>
    <w:rsid w:val="52933906"/>
    <w:rsid w:val="52966AB4"/>
    <w:rsid w:val="52982876"/>
    <w:rsid w:val="529D1A39"/>
    <w:rsid w:val="52AC750A"/>
    <w:rsid w:val="52AE173B"/>
    <w:rsid w:val="52B03A8F"/>
    <w:rsid w:val="52B86762"/>
    <w:rsid w:val="52BD5DFB"/>
    <w:rsid w:val="52D1715A"/>
    <w:rsid w:val="52D71487"/>
    <w:rsid w:val="52D723D2"/>
    <w:rsid w:val="52D827C4"/>
    <w:rsid w:val="52DA21E8"/>
    <w:rsid w:val="52DD059E"/>
    <w:rsid w:val="52DE3BA7"/>
    <w:rsid w:val="52E82B11"/>
    <w:rsid w:val="52ED3D75"/>
    <w:rsid w:val="52F36DE4"/>
    <w:rsid w:val="52FA6DAF"/>
    <w:rsid w:val="52FC2540"/>
    <w:rsid w:val="52FD1799"/>
    <w:rsid w:val="53006993"/>
    <w:rsid w:val="530C4D8F"/>
    <w:rsid w:val="530F41EF"/>
    <w:rsid w:val="53125B2F"/>
    <w:rsid w:val="53142709"/>
    <w:rsid w:val="53144F22"/>
    <w:rsid w:val="53161BBD"/>
    <w:rsid w:val="531844B5"/>
    <w:rsid w:val="531B2D2C"/>
    <w:rsid w:val="53214786"/>
    <w:rsid w:val="5323761D"/>
    <w:rsid w:val="53292944"/>
    <w:rsid w:val="532A6DFE"/>
    <w:rsid w:val="532B433F"/>
    <w:rsid w:val="532C0A15"/>
    <w:rsid w:val="53354FF5"/>
    <w:rsid w:val="533569AD"/>
    <w:rsid w:val="53381665"/>
    <w:rsid w:val="5338662A"/>
    <w:rsid w:val="533A6FEF"/>
    <w:rsid w:val="533E47A2"/>
    <w:rsid w:val="53472372"/>
    <w:rsid w:val="53497829"/>
    <w:rsid w:val="534A77BC"/>
    <w:rsid w:val="534E3B3B"/>
    <w:rsid w:val="534F5D39"/>
    <w:rsid w:val="53531578"/>
    <w:rsid w:val="53533884"/>
    <w:rsid w:val="53626926"/>
    <w:rsid w:val="536C23D4"/>
    <w:rsid w:val="536D7143"/>
    <w:rsid w:val="5370331D"/>
    <w:rsid w:val="53724D4E"/>
    <w:rsid w:val="53796E3F"/>
    <w:rsid w:val="537D29CC"/>
    <w:rsid w:val="538047FB"/>
    <w:rsid w:val="53805797"/>
    <w:rsid w:val="53834A06"/>
    <w:rsid w:val="538561AD"/>
    <w:rsid w:val="538E09E1"/>
    <w:rsid w:val="538E5026"/>
    <w:rsid w:val="538E7CC4"/>
    <w:rsid w:val="53971434"/>
    <w:rsid w:val="53991236"/>
    <w:rsid w:val="539B3C8B"/>
    <w:rsid w:val="539C7078"/>
    <w:rsid w:val="53A02A86"/>
    <w:rsid w:val="53A72544"/>
    <w:rsid w:val="53A77C74"/>
    <w:rsid w:val="53AF09BF"/>
    <w:rsid w:val="53B22F29"/>
    <w:rsid w:val="53B44BE5"/>
    <w:rsid w:val="53B91637"/>
    <w:rsid w:val="53C55238"/>
    <w:rsid w:val="53C868EF"/>
    <w:rsid w:val="53D266FC"/>
    <w:rsid w:val="53E07A97"/>
    <w:rsid w:val="53E11A8B"/>
    <w:rsid w:val="53E76FA2"/>
    <w:rsid w:val="53E917BB"/>
    <w:rsid w:val="53EA309F"/>
    <w:rsid w:val="53EF2D21"/>
    <w:rsid w:val="53F20560"/>
    <w:rsid w:val="53FB159C"/>
    <w:rsid w:val="53FD32A9"/>
    <w:rsid w:val="54145AEA"/>
    <w:rsid w:val="54217186"/>
    <w:rsid w:val="54236755"/>
    <w:rsid w:val="54274C85"/>
    <w:rsid w:val="54476405"/>
    <w:rsid w:val="544A4C08"/>
    <w:rsid w:val="54506DDC"/>
    <w:rsid w:val="54593397"/>
    <w:rsid w:val="546553D7"/>
    <w:rsid w:val="546668F9"/>
    <w:rsid w:val="5470356B"/>
    <w:rsid w:val="54757769"/>
    <w:rsid w:val="54767B5A"/>
    <w:rsid w:val="54780E5C"/>
    <w:rsid w:val="547B346F"/>
    <w:rsid w:val="54804A72"/>
    <w:rsid w:val="54847470"/>
    <w:rsid w:val="54861354"/>
    <w:rsid w:val="548732B3"/>
    <w:rsid w:val="548E3B03"/>
    <w:rsid w:val="54991F07"/>
    <w:rsid w:val="549F3706"/>
    <w:rsid w:val="54A14735"/>
    <w:rsid w:val="54A33638"/>
    <w:rsid w:val="54AD07B4"/>
    <w:rsid w:val="54AE223F"/>
    <w:rsid w:val="54C46BA4"/>
    <w:rsid w:val="54C833A7"/>
    <w:rsid w:val="54C847A3"/>
    <w:rsid w:val="54CF1030"/>
    <w:rsid w:val="54CF5996"/>
    <w:rsid w:val="54D648BB"/>
    <w:rsid w:val="54F01AAB"/>
    <w:rsid w:val="54F35E4D"/>
    <w:rsid w:val="54F5463A"/>
    <w:rsid w:val="54FC2916"/>
    <w:rsid w:val="550707FE"/>
    <w:rsid w:val="550B5E81"/>
    <w:rsid w:val="550D690C"/>
    <w:rsid w:val="550F33AD"/>
    <w:rsid w:val="55186ABD"/>
    <w:rsid w:val="551D0740"/>
    <w:rsid w:val="55247645"/>
    <w:rsid w:val="5530385A"/>
    <w:rsid w:val="554B3DA1"/>
    <w:rsid w:val="554F14D4"/>
    <w:rsid w:val="555C64C7"/>
    <w:rsid w:val="55700D66"/>
    <w:rsid w:val="55734560"/>
    <w:rsid w:val="55743FA3"/>
    <w:rsid w:val="55762FBE"/>
    <w:rsid w:val="557F50D4"/>
    <w:rsid w:val="558B1293"/>
    <w:rsid w:val="5593415D"/>
    <w:rsid w:val="55947F25"/>
    <w:rsid w:val="559D089E"/>
    <w:rsid w:val="55A37861"/>
    <w:rsid w:val="55A66C77"/>
    <w:rsid w:val="55B0398E"/>
    <w:rsid w:val="55B41D2B"/>
    <w:rsid w:val="55B71853"/>
    <w:rsid w:val="55BA5B0E"/>
    <w:rsid w:val="55BC483E"/>
    <w:rsid w:val="55BE3D66"/>
    <w:rsid w:val="55C67DDE"/>
    <w:rsid w:val="55C70A81"/>
    <w:rsid w:val="55C8019F"/>
    <w:rsid w:val="55C864CF"/>
    <w:rsid w:val="55CD0614"/>
    <w:rsid w:val="55CD4EFD"/>
    <w:rsid w:val="55D04211"/>
    <w:rsid w:val="55E176BC"/>
    <w:rsid w:val="55E34DF9"/>
    <w:rsid w:val="55E855BB"/>
    <w:rsid w:val="55ED3B9D"/>
    <w:rsid w:val="55FD5EA1"/>
    <w:rsid w:val="55FF0520"/>
    <w:rsid w:val="560165A7"/>
    <w:rsid w:val="56061BCF"/>
    <w:rsid w:val="560A35D1"/>
    <w:rsid w:val="561016DD"/>
    <w:rsid w:val="56133B81"/>
    <w:rsid w:val="56161340"/>
    <w:rsid w:val="56194095"/>
    <w:rsid w:val="561C28F3"/>
    <w:rsid w:val="56217DE0"/>
    <w:rsid w:val="56241707"/>
    <w:rsid w:val="562F2938"/>
    <w:rsid w:val="56411C34"/>
    <w:rsid w:val="56493372"/>
    <w:rsid w:val="564A48A2"/>
    <w:rsid w:val="564B6409"/>
    <w:rsid w:val="564C23E5"/>
    <w:rsid w:val="566905C0"/>
    <w:rsid w:val="56691917"/>
    <w:rsid w:val="56691EC2"/>
    <w:rsid w:val="566D67A5"/>
    <w:rsid w:val="5672694B"/>
    <w:rsid w:val="567411F7"/>
    <w:rsid w:val="5678557E"/>
    <w:rsid w:val="567C4D5B"/>
    <w:rsid w:val="568C1291"/>
    <w:rsid w:val="56917A2B"/>
    <w:rsid w:val="5692344F"/>
    <w:rsid w:val="5695235E"/>
    <w:rsid w:val="569E330B"/>
    <w:rsid w:val="56A579C1"/>
    <w:rsid w:val="56A73E8C"/>
    <w:rsid w:val="56BA2F90"/>
    <w:rsid w:val="56BF0923"/>
    <w:rsid w:val="56C77B16"/>
    <w:rsid w:val="56CD1EEC"/>
    <w:rsid w:val="56D02CCB"/>
    <w:rsid w:val="56D93607"/>
    <w:rsid w:val="56DF365F"/>
    <w:rsid w:val="56E12B9C"/>
    <w:rsid w:val="56E93892"/>
    <w:rsid w:val="56F1025B"/>
    <w:rsid w:val="56FA6A52"/>
    <w:rsid w:val="56FC704A"/>
    <w:rsid w:val="56FF0A48"/>
    <w:rsid w:val="57027CD2"/>
    <w:rsid w:val="57035EED"/>
    <w:rsid w:val="5706496D"/>
    <w:rsid w:val="57094940"/>
    <w:rsid w:val="570B2ADE"/>
    <w:rsid w:val="570E36A0"/>
    <w:rsid w:val="571F26FB"/>
    <w:rsid w:val="57243566"/>
    <w:rsid w:val="57295110"/>
    <w:rsid w:val="57324EC5"/>
    <w:rsid w:val="573C5201"/>
    <w:rsid w:val="574231DC"/>
    <w:rsid w:val="574605CE"/>
    <w:rsid w:val="574E5F61"/>
    <w:rsid w:val="575C12F3"/>
    <w:rsid w:val="57622C97"/>
    <w:rsid w:val="576A19CF"/>
    <w:rsid w:val="576B0A2A"/>
    <w:rsid w:val="57701F7D"/>
    <w:rsid w:val="57752FF6"/>
    <w:rsid w:val="577B4BE4"/>
    <w:rsid w:val="577F6B72"/>
    <w:rsid w:val="5780067D"/>
    <w:rsid w:val="57820E6A"/>
    <w:rsid w:val="578876A8"/>
    <w:rsid w:val="578961BE"/>
    <w:rsid w:val="5792293B"/>
    <w:rsid w:val="57924C6A"/>
    <w:rsid w:val="579357C9"/>
    <w:rsid w:val="579421F1"/>
    <w:rsid w:val="579F20DE"/>
    <w:rsid w:val="57A44E63"/>
    <w:rsid w:val="57A73DAD"/>
    <w:rsid w:val="57AC7852"/>
    <w:rsid w:val="57AD6BD9"/>
    <w:rsid w:val="57B22999"/>
    <w:rsid w:val="57BC3F33"/>
    <w:rsid w:val="57BF2AF6"/>
    <w:rsid w:val="57C67750"/>
    <w:rsid w:val="57CB1AD8"/>
    <w:rsid w:val="57D84619"/>
    <w:rsid w:val="57E0669D"/>
    <w:rsid w:val="57EB37D9"/>
    <w:rsid w:val="57EE0532"/>
    <w:rsid w:val="57F377B8"/>
    <w:rsid w:val="580076D1"/>
    <w:rsid w:val="580402F6"/>
    <w:rsid w:val="58050498"/>
    <w:rsid w:val="5807127B"/>
    <w:rsid w:val="580D032C"/>
    <w:rsid w:val="5813271C"/>
    <w:rsid w:val="58134A63"/>
    <w:rsid w:val="58155B8C"/>
    <w:rsid w:val="5817178A"/>
    <w:rsid w:val="58180911"/>
    <w:rsid w:val="58180C9D"/>
    <w:rsid w:val="581833DA"/>
    <w:rsid w:val="581A06AB"/>
    <w:rsid w:val="581D75EC"/>
    <w:rsid w:val="582300FB"/>
    <w:rsid w:val="582849DC"/>
    <w:rsid w:val="58320C58"/>
    <w:rsid w:val="58395E0B"/>
    <w:rsid w:val="584005E4"/>
    <w:rsid w:val="584447B2"/>
    <w:rsid w:val="584470F6"/>
    <w:rsid w:val="58472D11"/>
    <w:rsid w:val="584A466F"/>
    <w:rsid w:val="584B4DEE"/>
    <w:rsid w:val="584C28F2"/>
    <w:rsid w:val="584E1DBB"/>
    <w:rsid w:val="58577098"/>
    <w:rsid w:val="586801FF"/>
    <w:rsid w:val="586C7123"/>
    <w:rsid w:val="586D2FE5"/>
    <w:rsid w:val="586F3282"/>
    <w:rsid w:val="58707971"/>
    <w:rsid w:val="5879384B"/>
    <w:rsid w:val="587A5B0E"/>
    <w:rsid w:val="587B3E51"/>
    <w:rsid w:val="587F2ECA"/>
    <w:rsid w:val="58825F3D"/>
    <w:rsid w:val="58987578"/>
    <w:rsid w:val="58993447"/>
    <w:rsid w:val="589B3E2C"/>
    <w:rsid w:val="589E237F"/>
    <w:rsid w:val="58A05023"/>
    <w:rsid w:val="58A34CC8"/>
    <w:rsid w:val="58A527F1"/>
    <w:rsid w:val="58A528F9"/>
    <w:rsid w:val="58A62834"/>
    <w:rsid w:val="58A7423C"/>
    <w:rsid w:val="58A7447B"/>
    <w:rsid w:val="58A92E3F"/>
    <w:rsid w:val="58AB2633"/>
    <w:rsid w:val="58AE6D9D"/>
    <w:rsid w:val="58AF3F48"/>
    <w:rsid w:val="58B05BF6"/>
    <w:rsid w:val="58B70BDB"/>
    <w:rsid w:val="58BE585C"/>
    <w:rsid w:val="58DF2970"/>
    <w:rsid w:val="58DF51D7"/>
    <w:rsid w:val="58E8304F"/>
    <w:rsid w:val="58EA1355"/>
    <w:rsid w:val="58ED302F"/>
    <w:rsid w:val="58ED3370"/>
    <w:rsid w:val="58EE0D1B"/>
    <w:rsid w:val="58F13AC3"/>
    <w:rsid w:val="58F8443C"/>
    <w:rsid w:val="58FC32C0"/>
    <w:rsid w:val="59004FBD"/>
    <w:rsid w:val="59005E04"/>
    <w:rsid w:val="59034C48"/>
    <w:rsid w:val="590376F1"/>
    <w:rsid w:val="590774A5"/>
    <w:rsid w:val="59092CC9"/>
    <w:rsid w:val="591112FB"/>
    <w:rsid w:val="59131161"/>
    <w:rsid w:val="591B3A24"/>
    <w:rsid w:val="592C0FC2"/>
    <w:rsid w:val="592D05D9"/>
    <w:rsid w:val="59377172"/>
    <w:rsid w:val="593C2B71"/>
    <w:rsid w:val="593E283D"/>
    <w:rsid w:val="593E7BFC"/>
    <w:rsid w:val="5941256D"/>
    <w:rsid w:val="594A4D8A"/>
    <w:rsid w:val="594B27B0"/>
    <w:rsid w:val="594E249C"/>
    <w:rsid w:val="59526DE3"/>
    <w:rsid w:val="5954370A"/>
    <w:rsid w:val="59552C52"/>
    <w:rsid w:val="595C551D"/>
    <w:rsid w:val="5961412A"/>
    <w:rsid w:val="59701E4C"/>
    <w:rsid w:val="59752B5E"/>
    <w:rsid w:val="597C1CCF"/>
    <w:rsid w:val="59823EDF"/>
    <w:rsid w:val="59840DA6"/>
    <w:rsid w:val="598474ED"/>
    <w:rsid w:val="598F3CB6"/>
    <w:rsid w:val="59A43763"/>
    <w:rsid w:val="59B7196E"/>
    <w:rsid w:val="59C24E59"/>
    <w:rsid w:val="59CA56D0"/>
    <w:rsid w:val="59CB511B"/>
    <w:rsid w:val="59D0582B"/>
    <w:rsid w:val="59DB48E0"/>
    <w:rsid w:val="59E247C9"/>
    <w:rsid w:val="59E53951"/>
    <w:rsid w:val="59E90060"/>
    <w:rsid w:val="59EA0752"/>
    <w:rsid w:val="59EB374E"/>
    <w:rsid w:val="59EC2E15"/>
    <w:rsid w:val="59EF5EAE"/>
    <w:rsid w:val="59F026ED"/>
    <w:rsid w:val="59F04BC2"/>
    <w:rsid w:val="59F17C4A"/>
    <w:rsid w:val="59F73517"/>
    <w:rsid w:val="5A0A60C0"/>
    <w:rsid w:val="5A0A6F73"/>
    <w:rsid w:val="5A14530D"/>
    <w:rsid w:val="5A1C10A8"/>
    <w:rsid w:val="5A207B5B"/>
    <w:rsid w:val="5A24468D"/>
    <w:rsid w:val="5A333CC8"/>
    <w:rsid w:val="5A437FD5"/>
    <w:rsid w:val="5A50443E"/>
    <w:rsid w:val="5A600C42"/>
    <w:rsid w:val="5A656512"/>
    <w:rsid w:val="5A73126E"/>
    <w:rsid w:val="5A745989"/>
    <w:rsid w:val="5A78774D"/>
    <w:rsid w:val="5A88091E"/>
    <w:rsid w:val="5A912517"/>
    <w:rsid w:val="5A940D7E"/>
    <w:rsid w:val="5A971553"/>
    <w:rsid w:val="5A9F057C"/>
    <w:rsid w:val="5A9F1CCE"/>
    <w:rsid w:val="5A9F46E7"/>
    <w:rsid w:val="5AB63281"/>
    <w:rsid w:val="5AB84C28"/>
    <w:rsid w:val="5ABF4F4C"/>
    <w:rsid w:val="5AC05D26"/>
    <w:rsid w:val="5AC4584F"/>
    <w:rsid w:val="5ACA2F28"/>
    <w:rsid w:val="5ACD6A43"/>
    <w:rsid w:val="5AD5439B"/>
    <w:rsid w:val="5ADB3201"/>
    <w:rsid w:val="5ADC25E8"/>
    <w:rsid w:val="5AE7002E"/>
    <w:rsid w:val="5AE74899"/>
    <w:rsid w:val="5AEA4B3E"/>
    <w:rsid w:val="5AEB0179"/>
    <w:rsid w:val="5AF005A4"/>
    <w:rsid w:val="5AFF18C6"/>
    <w:rsid w:val="5B0406DD"/>
    <w:rsid w:val="5B06197F"/>
    <w:rsid w:val="5B0A7250"/>
    <w:rsid w:val="5B1E4103"/>
    <w:rsid w:val="5B214288"/>
    <w:rsid w:val="5B223CC8"/>
    <w:rsid w:val="5B283F99"/>
    <w:rsid w:val="5B2B6E12"/>
    <w:rsid w:val="5B2E79C5"/>
    <w:rsid w:val="5B3C6B5E"/>
    <w:rsid w:val="5B3E3A20"/>
    <w:rsid w:val="5B402A59"/>
    <w:rsid w:val="5B4723ED"/>
    <w:rsid w:val="5B4E7786"/>
    <w:rsid w:val="5B575869"/>
    <w:rsid w:val="5B5A1E2D"/>
    <w:rsid w:val="5B5A424E"/>
    <w:rsid w:val="5B5E6F70"/>
    <w:rsid w:val="5B6103CF"/>
    <w:rsid w:val="5B651A10"/>
    <w:rsid w:val="5B6A0607"/>
    <w:rsid w:val="5B795118"/>
    <w:rsid w:val="5B7A11D6"/>
    <w:rsid w:val="5B806B0F"/>
    <w:rsid w:val="5B81342F"/>
    <w:rsid w:val="5B814592"/>
    <w:rsid w:val="5B857484"/>
    <w:rsid w:val="5B8E0C80"/>
    <w:rsid w:val="5B91348B"/>
    <w:rsid w:val="5B9639B7"/>
    <w:rsid w:val="5B992565"/>
    <w:rsid w:val="5B9F50DF"/>
    <w:rsid w:val="5BA27132"/>
    <w:rsid w:val="5BA44F13"/>
    <w:rsid w:val="5BA45747"/>
    <w:rsid w:val="5BA6270F"/>
    <w:rsid w:val="5BB62ED4"/>
    <w:rsid w:val="5BB74EB9"/>
    <w:rsid w:val="5BB756E7"/>
    <w:rsid w:val="5BBF27CE"/>
    <w:rsid w:val="5BC07018"/>
    <w:rsid w:val="5BE40E55"/>
    <w:rsid w:val="5BE72C2C"/>
    <w:rsid w:val="5BE90364"/>
    <w:rsid w:val="5BED59B0"/>
    <w:rsid w:val="5BEF09E9"/>
    <w:rsid w:val="5BF06809"/>
    <w:rsid w:val="5BF6776A"/>
    <w:rsid w:val="5C01542C"/>
    <w:rsid w:val="5C047A79"/>
    <w:rsid w:val="5C063A94"/>
    <w:rsid w:val="5C0C0AF8"/>
    <w:rsid w:val="5C14329A"/>
    <w:rsid w:val="5C1615F2"/>
    <w:rsid w:val="5C20040C"/>
    <w:rsid w:val="5C205433"/>
    <w:rsid w:val="5C2209AC"/>
    <w:rsid w:val="5C2349A5"/>
    <w:rsid w:val="5C244958"/>
    <w:rsid w:val="5C2D0223"/>
    <w:rsid w:val="5C2D45DB"/>
    <w:rsid w:val="5C3628B8"/>
    <w:rsid w:val="5C3B0413"/>
    <w:rsid w:val="5C3E42CB"/>
    <w:rsid w:val="5C456AE6"/>
    <w:rsid w:val="5C480675"/>
    <w:rsid w:val="5C4A2F85"/>
    <w:rsid w:val="5C51321D"/>
    <w:rsid w:val="5C62062D"/>
    <w:rsid w:val="5C645C6B"/>
    <w:rsid w:val="5C7A6C80"/>
    <w:rsid w:val="5C7F2383"/>
    <w:rsid w:val="5C8055CA"/>
    <w:rsid w:val="5C8575CC"/>
    <w:rsid w:val="5C8F2968"/>
    <w:rsid w:val="5C915043"/>
    <w:rsid w:val="5C917124"/>
    <w:rsid w:val="5C961890"/>
    <w:rsid w:val="5CA65E11"/>
    <w:rsid w:val="5CAA259C"/>
    <w:rsid w:val="5CAF2E9D"/>
    <w:rsid w:val="5CB14C2F"/>
    <w:rsid w:val="5CB90537"/>
    <w:rsid w:val="5CC54942"/>
    <w:rsid w:val="5CC75DC3"/>
    <w:rsid w:val="5CCA3070"/>
    <w:rsid w:val="5CCC6E74"/>
    <w:rsid w:val="5CD96260"/>
    <w:rsid w:val="5CEB190F"/>
    <w:rsid w:val="5CEB678F"/>
    <w:rsid w:val="5CEE79C8"/>
    <w:rsid w:val="5CFB2990"/>
    <w:rsid w:val="5CFF23B0"/>
    <w:rsid w:val="5D056947"/>
    <w:rsid w:val="5D067999"/>
    <w:rsid w:val="5D08330C"/>
    <w:rsid w:val="5D0C176B"/>
    <w:rsid w:val="5D20721B"/>
    <w:rsid w:val="5D230139"/>
    <w:rsid w:val="5D23771F"/>
    <w:rsid w:val="5D244AB9"/>
    <w:rsid w:val="5D26741D"/>
    <w:rsid w:val="5D3221D3"/>
    <w:rsid w:val="5D331116"/>
    <w:rsid w:val="5D4D0425"/>
    <w:rsid w:val="5D4D4D5C"/>
    <w:rsid w:val="5D52068E"/>
    <w:rsid w:val="5D552841"/>
    <w:rsid w:val="5D585FAB"/>
    <w:rsid w:val="5D611BA5"/>
    <w:rsid w:val="5D680BCA"/>
    <w:rsid w:val="5D6A1F2C"/>
    <w:rsid w:val="5D6C2F3E"/>
    <w:rsid w:val="5D6D2B03"/>
    <w:rsid w:val="5D6D35D3"/>
    <w:rsid w:val="5D704D9C"/>
    <w:rsid w:val="5D72384D"/>
    <w:rsid w:val="5D7412BC"/>
    <w:rsid w:val="5D747763"/>
    <w:rsid w:val="5D761DDE"/>
    <w:rsid w:val="5D8463C8"/>
    <w:rsid w:val="5D897F82"/>
    <w:rsid w:val="5D8A178F"/>
    <w:rsid w:val="5D8B0D60"/>
    <w:rsid w:val="5D9422D0"/>
    <w:rsid w:val="5D951283"/>
    <w:rsid w:val="5D9B029B"/>
    <w:rsid w:val="5D9C21D2"/>
    <w:rsid w:val="5D9E7A68"/>
    <w:rsid w:val="5DA3252C"/>
    <w:rsid w:val="5DA55280"/>
    <w:rsid w:val="5DAD753D"/>
    <w:rsid w:val="5DB657FD"/>
    <w:rsid w:val="5DC14D81"/>
    <w:rsid w:val="5DC15177"/>
    <w:rsid w:val="5DC17E2E"/>
    <w:rsid w:val="5DCE7F23"/>
    <w:rsid w:val="5DD52DDA"/>
    <w:rsid w:val="5DD90BF2"/>
    <w:rsid w:val="5DD9226E"/>
    <w:rsid w:val="5DDF2B1D"/>
    <w:rsid w:val="5DDF5D85"/>
    <w:rsid w:val="5DE7641B"/>
    <w:rsid w:val="5DF10F17"/>
    <w:rsid w:val="5DF778DC"/>
    <w:rsid w:val="5DFA76DF"/>
    <w:rsid w:val="5E003166"/>
    <w:rsid w:val="5E01231B"/>
    <w:rsid w:val="5E070ED0"/>
    <w:rsid w:val="5E09767E"/>
    <w:rsid w:val="5E110CFD"/>
    <w:rsid w:val="5E2777AA"/>
    <w:rsid w:val="5E395576"/>
    <w:rsid w:val="5E4B7572"/>
    <w:rsid w:val="5E4D37C9"/>
    <w:rsid w:val="5E5147A0"/>
    <w:rsid w:val="5E5238CE"/>
    <w:rsid w:val="5E535C7B"/>
    <w:rsid w:val="5E536DF6"/>
    <w:rsid w:val="5E5934A2"/>
    <w:rsid w:val="5E6E7BF7"/>
    <w:rsid w:val="5E734170"/>
    <w:rsid w:val="5E73593F"/>
    <w:rsid w:val="5E7A54D2"/>
    <w:rsid w:val="5E7B340D"/>
    <w:rsid w:val="5E7C120B"/>
    <w:rsid w:val="5E7F5D71"/>
    <w:rsid w:val="5E825CDF"/>
    <w:rsid w:val="5E8D2204"/>
    <w:rsid w:val="5E947079"/>
    <w:rsid w:val="5EAA4712"/>
    <w:rsid w:val="5EAA7B88"/>
    <w:rsid w:val="5EB30C0E"/>
    <w:rsid w:val="5EB4699D"/>
    <w:rsid w:val="5EBC14A8"/>
    <w:rsid w:val="5EC0592C"/>
    <w:rsid w:val="5EC256F1"/>
    <w:rsid w:val="5EC3425D"/>
    <w:rsid w:val="5ECB7350"/>
    <w:rsid w:val="5ED34299"/>
    <w:rsid w:val="5ED422B4"/>
    <w:rsid w:val="5ED6575C"/>
    <w:rsid w:val="5EE2369B"/>
    <w:rsid w:val="5EE471BB"/>
    <w:rsid w:val="5EEE70E1"/>
    <w:rsid w:val="5EF22F9C"/>
    <w:rsid w:val="5EF82F5A"/>
    <w:rsid w:val="5F030297"/>
    <w:rsid w:val="5F0327EF"/>
    <w:rsid w:val="5F0920CD"/>
    <w:rsid w:val="5F0F1093"/>
    <w:rsid w:val="5F230CFF"/>
    <w:rsid w:val="5F24591E"/>
    <w:rsid w:val="5F257F6D"/>
    <w:rsid w:val="5F315E9C"/>
    <w:rsid w:val="5F427DC1"/>
    <w:rsid w:val="5F4E54EE"/>
    <w:rsid w:val="5F4F5887"/>
    <w:rsid w:val="5F4F662A"/>
    <w:rsid w:val="5F520122"/>
    <w:rsid w:val="5F53180D"/>
    <w:rsid w:val="5F561E77"/>
    <w:rsid w:val="5F5C6B8A"/>
    <w:rsid w:val="5F621DDA"/>
    <w:rsid w:val="5F6A5047"/>
    <w:rsid w:val="5F7C060A"/>
    <w:rsid w:val="5F8A6F5A"/>
    <w:rsid w:val="5F8F5746"/>
    <w:rsid w:val="5F904E62"/>
    <w:rsid w:val="5FAF4831"/>
    <w:rsid w:val="5FB046C3"/>
    <w:rsid w:val="5FBC34AC"/>
    <w:rsid w:val="5FC01F03"/>
    <w:rsid w:val="5FC66523"/>
    <w:rsid w:val="5FCD448F"/>
    <w:rsid w:val="5FD12FDA"/>
    <w:rsid w:val="5FD614CB"/>
    <w:rsid w:val="5FDE6D70"/>
    <w:rsid w:val="5FE1785D"/>
    <w:rsid w:val="5FE21DAC"/>
    <w:rsid w:val="5FF21A53"/>
    <w:rsid w:val="5FFA51F8"/>
    <w:rsid w:val="5FFC4672"/>
    <w:rsid w:val="5FFD59BE"/>
    <w:rsid w:val="60073C43"/>
    <w:rsid w:val="600935D0"/>
    <w:rsid w:val="6010013D"/>
    <w:rsid w:val="60140E61"/>
    <w:rsid w:val="60170282"/>
    <w:rsid w:val="601D7D29"/>
    <w:rsid w:val="602829F5"/>
    <w:rsid w:val="60307F48"/>
    <w:rsid w:val="60312F9F"/>
    <w:rsid w:val="60320303"/>
    <w:rsid w:val="6034704E"/>
    <w:rsid w:val="603668A7"/>
    <w:rsid w:val="60394841"/>
    <w:rsid w:val="603E652D"/>
    <w:rsid w:val="604C5532"/>
    <w:rsid w:val="604C7A26"/>
    <w:rsid w:val="60521371"/>
    <w:rsid w:val="6053126D"/>
    <w:rsid w:val="605565F4"/>
    <w:rsid w:val="60643058"/>
    <w:rsid w:val="606844C2"/>
    <w:rsid w:val="606958F6"/>
    <w:rsid w:val="606C7C0A"/>
    <w:rsid w:val="60767F5B"/>
    <w:rsid w:val="60877F74"/>
    <w:rsid w:val="608A7631"/>
    <w:rsid w:val="608E0866"/>
    <w:rsid w:val="60912131"/>
    <w:rsid w:val="60A50C2E"/>
    <w:rsid w:val="60B437E4"/>
    <w:rsid w:val="60B45C0B"/>
    <w:rsid w:val="60B52475"/>
    <w:rsid w:val="60C238D3"/>
    <w:rsid w:val="60C31757"/>
    <w:rsid w:val="60D731F9"/>
    <w:rsid w:val="60DB25A2"/>
    <w:rsid w:val="60DD083C"/>
    <w:rsid w:val="60DD2497"/>
    <w:rsid w:val="60DF062C"/>
    <w:rsid w:val="60E143F9"/>
    <w:rsid w:val="60E30E22"/>
    <w:rsid w:val="60E80F88"/>
    <w:rsid w:val="60F63DF1"/>
    <w:rsid w:val="60F97D92"/>
    <w:rsid w:val="60FE2AFE"/>
    <w:rsid w:val="61031F35"/>
    <w:rsid w:val="611463F3"/>
    <w:rsid w:val="611505AA"/>
    <w:rsid w:val="611A3745"/>
    <w:rsid w:val="612553C6"/>
    <w:rsid w:val="612A1343"/>
    <w:rsid w:val="612E7AEC"/>
    <w:rsid w:val="613D5A55"/>
    <w:rsid w:val="614670C7"/>
    <w:rsid w:val="61473C53"/>
    <w:rsid w:val="6150475C"/>
    <w:rsid w:val="61560F64"/>
    <w:rsid w:val="615760D0"/>
    <w:rsid w:val="61657201"/>
    <w:rsid w:val="617937E1"/>
    <w:rsid w:val="617B063B"/>
    <w:rsid w:val="61894395"/>
    <w:rsid w:val="618A2FA4"/>
    <w:rsid w:val="619625EA"/>
    <w:rsid w:val="619C7970"/>
    <w:rsid w:val="61A274BD"/>
    <w:rsid w:val="61AF4211"/>
    <w:rsid w:val="61BA6334"/>
    <w:rsid w:val="61BE52A5"/>
    <w:rsid w:val="61C14432"/>
    <w:rsid w:val="61C464F7"/>
    <w:rsid w:val="61C92D5F"/>
    <w:rsid w:val="61CA425C"/>
    <w:rsid w:val="61D16D0D"/>
    <w:rsid w:val="61D34A69"/>
    <w:rsid w:val="61D45CF1"/>
    <w:rsid w:val="61D71F16"/>
    <w:rsid w:val="61E96940"/>
    <w:rsid w:val="61EE2714"/>
    <w:rsid w:val="61F41B47"/>
    <w:rsid w:val="61FA0038"/>
    <w:rsid w:val="620C6EB1"/>
    <w:rsid w:val="62110BCD"/>
    <w:rsid w:val="62124C11"/>
    <w:rsid w:val="621566A0"/>
    <w:rsid w:val="62197D96"/>
    <w:rsid w:val="621D6753"/>
    <w:rsid w:val="62216CE9"/>
    <w:rsid w:val="62293CB7"/>
    <w:rsid w:val="622A5454"/>
    <w:rsid w:val="62340EEA"/>
    <w:rsid w:val="623922F9"/>
    <w:rsid w:val="623E52C3"/>
    <w:rsid w:val="623E733C"/>
    <w:rsid w:val="6246058C"/>
    <w:rsid w:val="624B4737"/>
    <w:rsid w:val="624B5331"/>
    <w:rsid w:val="624C1083"/>
    <w:rsid w:val="624C58C7"/>
    <w:rsid w:val="624E466B"/>
    <w:rsid w:val="6251635C"/>
    <w:rsid w:val="625313F9"/>
    <w:rsid w:val="62545460"/>
    <w:rsid w:val="625635A8"/>
    <w:rsid w:val="625A15C1"/>
    <w:rsid w:val="625B6E46"/>
    <w:rsid w:val="62654FFD"/>
    <w:rsid w:val="627737E5"/>
    <w:rsid w:val="62776BEA"/>
    <w:rsid w:val="627B4B85"/>
    <w:rsid w:val="627C4D85"/>
    <w:rsid w:val="62800E1B"/>
    <w:rsid w:val="62875E14"/>
    <w:rsid w:val="62893325"/>
    <w:rsid w:val="628E1D53"/>
    <w:rsid w:val="628F2A56"/>
    <w:rsid w:val="62AB7A36"/>
    <w:rsid w:val="62AC599A"/>
    <w:rsid w:val="62B40FE0"/>
    <w:rsid w:val="62B90F67"/>
    <w:rsid w:val="62CF23E0"/>
    <w:rsid w:val="62D72C98"/>
    <w:rsid w:val="62D8535D"/>
    <w:rsid w:val="62D92168"/>
    <w:rsid w:val="62E42B5C"/>
    <w:rsid w:val="62E7686E"/>
    <w:rsid w:val="62EB29AE"/>
    <w:rsid w:val="62ED6955"/>
    <w:rsid w:val="62EF2C6C"/>
    <w:rsid w:val="62F15F08"/>
    <w:rsid w:val="62F25193"/>
    <w:rsid w:val="62F32B36"/>
    <w:rsid w:val="62F55CCF"/>
    <w:rsid w:val="62F75AD7"/>
    <w:rsid w:val="62F8639A"/>
    <w:rsid w:val="62FA5732"/>
    <w:rsid w:val="62FC14EB"/>
    <w:rsid w:val="62FE2F30"/>
    <w:rsid w:val="63027A9A"/>
    <w:rsid w:val="630D0DE8"/>
    <w:rsid w:val="631D0ACE"/>
    <w:rsid w:val="63235859"/>
    <w:rsid w:val="63276CF9"/>
    <w:rsid w:val="6329313E"/>
    <w:rsid w:val="6329417E"/>
    <w:rsid w:val="63355008"/>
    <w:rsid w:val="633B238B"/>
    <w:rsid w:val="633C32A8"/>
    <w:rsid w:val="63413696"/>
    <w:rsid w:val="6341451A"/>
    <w:rsid w:val="634755F0"/>
    <w:rsid w:val="63482FC2"/>
    <w:rsid w:val="63487275"/>
    <w:rsid w:val="634B6E78"/>
    <w:rsid w:val="634F6CE1"/>
    <w:rsid w:val="636A2A6B"/>
    <w:rsid w:val="637138D5"/>
    <w:rsid w:val="63722A82"/>
    <w:rsid w:val="63743B78"/>
    <w:rsid w:val="637C0291"/>
    <w:rsid w:val="637D0D96"/>
    <w:rsid w:val="637F272D"/>
    <w:rsid w:val="63826F7C"/>
    <w:rsid w:val="63912F08"/>
    <w:rsid w:val="63935A41"/>
    <w:rsid w:val="639375A1"/>
    <w:rsid w:val="6397068E"/>
    <w:rsid w:val="639A2CE6"/>
    <w:rsid w:val="639E7F5C"/>
    <w:rsid w:val="63AE7E6F"/>
    <w:rsid w:val="63B32361"/>
    <w:rsid w:val="63BC0321"/>
    <w:rsid w:val="63C505E4"/>
    <w:rsid w:val="63C947C3"/>
    <w:rsid w:val="63CF1AAF"/>
    <w:rsid w:val="63D4270E"/>
    <w:rsid w:val="63D93238"/>
    <w:rsid w:val="63E031DA"/>
    <w:rsid w:val="63E445DE"/>
    <w:rsid w:val="63ED02CA"/>
    <w:rsid w:val="63ED2C02"/>
    <w:rsid w:val="63F54ED3"/>
    <w:rsid w:val="63F73630"/>
    <w:rsid w:val="63FC0596"/>
    <w:rsid w:val="63FD7456"/>
    <w:rsid w:val="640A5C7F"/>
    <w:rsid w:val="640C43C9"/>
    <w:rsid w:val="6411638D"/>
    <w:rsid w:val="64130626"/>
    <w:rsid w:val="641415B2"/>
    <w:rsid w:val="641446DF"/>
    <w:rsid w:val="64157459"/>
    <w:rsid w:val="64184AE0"/>
    <w:rsid w:val="64194252"/>
    <w:rsid w:val="64196CA2"/>
    <w:rsid w:val="64273E4E"/>
    <w:rsid w:val="642A5519"/>
    <w:rsid w:val="642D54C7"/>
    <w:rsid w:val="642F196E"/>
    <w:rsid w:val="64351BCA"/>
    <w:rsid w:val="64385604"/>
    <w:rsid w:val="644305D1"/>
    <w:rsid w:val="64440AE6"/>
    <w:rsid w:val="644556F2"/>
    <w:rsid w:val="644D39FD"/>
    <w:rsid w:val="644E7E38"/>
    <w:rsid w:val="64534CE0"/>
    <w:rsid w:val="64584A87"/>
    <w:rsid w:val="645E0F7C"/>
    <w:rsid w:val="6465050D"/>
    <w:rsid w:val="646D47CA"/>
    <w:rsid w:val="6473373A"/>
    <w:rsid w:val="6474741F"/>
    <w:rsid w:val="647F40FE"/>
    <w:rsid w:val="64802C6C"/>
    <w:rsid w:val="64833079"/>
    <w:rsid w:val="648A40AF"/>
    <w:rsid w:val="64944850"/>
    <w:rsid w:val="649E16A3"/>
    <w:rsid w:val="64A618C9"/>
    <w:rsid w:val="64A942B1"/>
    <w:rsid w:val="64AD2FC1"/>
    <w:rsid w:val="64AE29B8"/>
    <w:rsid w:val="64B92025"/>
    <w:rsid w:val="64B94CF3"/>
    <w:rsid w:val="64BD5091"/>
    <w:rsid w:val="64BF6A42"/>
    <w:rsid w:val="64C2164A"/>
    <w:rsid w:val="64C41713"/>
    <w:rsid w:val="64D30B05"/>
    <w:rsid w:val="64D57EDF"/>
    <w:rsid w:val="64DA4D7D"/>
    <w:rsid w:val="64DD6B00"/>
    <w:rsid w:val="64DF0CAB"/>
    <w:rsid w:val="64E1744F"/>
    <w:rsid w:val="64E24768"/>
    <w:rsid w:val="64E65A3A"/>
    <w:rsid w:val="64FC10A7"/>
    <w:rsid w:val="64FC5565"/>
    <w:rsid w:val="650335CB"/>
    <w:rsid w:val="650357A9"/>
    <w:rsid w:val="65067294"/>
    <w:rsid w:val="650C6000"/>
    <w:rsid w:val="65103DC4"/>
    <w:rsid w:val="651700E7"/>
    <w:rsid w:val="651F7DDC"/>
    <w:rsid w:val="652050E8"/>
    <w:rsid w:val="652205E7"/>
    <w:rsid w:val="652F3489"/>
    <w:rsid w:val="65334779"/>
    <w:rsid w:val="65385D9F"/>
    <w:rsid w:val="65397F9E"/>
    <w:rsid w:val="65460012"/>
    <w:rsid w:val="6548279B"/>
    <w:rsid w:val="654D0559"/>
    <w:rsid w:val="6558559B"/>
    <w:rsid w:val="655D6825"/>
    <w:rsid w:val="65607726"/>
    <w:rsid w:val="65671035"/>
    <w:rsid w:val="656B4492"/>
    <w:rsid w:val="656E50E0"/>
    <w:rsid w:val="6570222D"/>
    <w:rsid w:val="65743BA7"/>
    <w:rsid w:val="65751B94"/>
    <w:rsid w:val="657A799F"/>
    <w:rsid w:val="657F3191"/>
    <w:rsid w:val="658625A8"/>
    <w:rsid w:val="65863920"/>
    <w:rsid w:val="658A0CA3"/>
    <w:rsid w:val="65905ABD"/>
    <w:rsid w:val="659A705C"/>
    <w:rsid w:val="659E3BEC"/>
    <w:rsid w:val="65A405E4"/>
    <w:rsid w:val="65AA3772"/>
    <w:rsid w:val="65BB27FC"/>
    <w:rsid w:val="65BB3C64"/>
    <w:rsid w:val="65BB3EE4"/>
    <w:rsid w:val="65BC0577"/>
    <w:rsid w:val="65BD383E"/>
    <w:rsid w:val="65BD7B03"/>
    <w:rsid w:val="65C51B90"/>
    <w:rsid w:val="65C979D2"/>
    <w:rsid w:val="65CA4E92"/>
    <w:rsid w:val="65CB06AB"/>
    <w:rsid w:val="65CE3BE5"/>
    <w:rsid w:val="65D2700A"/>
    <w:rsid w:val="65D61449"/>
    <w:rsid w:val="65D80F07"/>
    <w:rsid w:val="65DD2007"/>
    <w:rsid w:val="65DD410F"/>
    <w:rsid w:val="65DE1C25"/>
    <w:rsid w:val="65E0595D"/>
    <w:rsid w:val="65E06CEB"/>
    <w:rsid w:val="65E700CA"/>
    <w:rsid w:val="65F53B7E"/>
    <w:rsid w:val="65F56DD4"/>
    <w:rsid w:val="6601602E"/>
    <w:rsid w:val="66160364"/>
    <w:rsid w:val="66161903"/>
    <w:rsid w:val="662043AF"/>
    <w:rsid w:val="6624387D"/>
    <w:rsid w:val="662E1FC8"/>
    <w:rsid w:val="66364B47"/>
    <w:rsid w:val="66375CC2"/>
    <w:rsid w:val="66383184"/>
    <w:rsid w:val="663C05CD"/>
    <w:rsid w:val="66426252"/>
    <w:rsid w:val="664A70EB"/>
    <w:rsid w:val="664B0EFE"/>
    <w:rsid w:val="664C23E3"/>
    <w:rsid w:val="665170BD"/>
    <w:rsid w:val="665A60B0"/>
    <w:rsid w:val="665A7E66"/>
    <w:rsid w:val="665E07B7"/>
    <w:rsid w:val="665F639C"/>
    <w:rsid w:val="66657A81"/>
    <w:rsid w:val="666E3446"/>
    <w:rsid w:val="666F023F"/>
    <w:rsid w:val="667201B5"/>
    <w:rsid w:val="667207E2"/>
    <w:rsid w:val="667539FE"/>
    <w:rsid w:val="667567D5"/>
    <w:rsid w:val="66761DB5"/>
    <w:rsid w:val="6676599D"/>
    <w:rsid w:val="66785E37"/>
    <w:rsid w:val="66793D8F"/>
    <w:rsid w:val="66843EBE"/>
    <w:rsid w:val="668872AC"/>
    <w:rsid w:val="669509F8"/>
    <w:rsid w:val="66983800"/>
    <w:rsid w:val="669C4FED"/>
    <w:rsid w:val="669F0178"/>
    <w:rsid w:val="669F6B14"/>
    <w:rsid w:val="66A14642"/>
    <w:rsid w:val="66A81C99"/>
    <w:rsid w:val="66B15494"/>
    <w:rsid w:val="66B15E34"/>
    <w:rsid w:val="66B50D9F"/>
    <w:rsid w:val="66BB6B50"/>
    <w:rsid w:val="66C13A86"/>
    <w:rsid w:val="66C607D8"/>
    <w:rsid w:val="66CD0245"/>
    <w:rsid w:val="66D536A9"/>
    <w:rsid w:val="66E239BE"/>
    <w:rsid w:val="66E63546"/>
    <w:rsid w:val="66F508EF"/>
    <w:rsid w:val="66FC1CDE"/>
    <w:rsid w:val="66FF7CBD"/>
    <w:rsid w:val="67007773"/>
    <w:rsid w:val="670A1E18"/>
    <w:rsid w:val="670B0EB8"/>
    <w:rsid w:val="670D67D4"/>
    <w:rsid w:val="6710449D"/>
    <w:rsid w:val="67142AE7"/>
    <w:rsid w:val="67231031"/>
    <w:rsid w:val="672320C1"/>
    <w:rsid w:val="6723789E"/>
    <w:rsid w:val="672D517E"/>
    <w:rsid w:val="672E64C9"/>
    <w:rsid w:val="674111AC"/>
    <w:rsid w:val="67441CF1"/>
    <w:rsid w:val="674C615F"/>
    <w:rsid w:val="674F5777"/>
    <w:rsid w:val="675001B5"/>
    <w:rsid w:val="67505091"/>
    <w:rsid w:val="67516FD8"/>
    <w:rsid w:val="67540863"/>
    <w:rsid w:val="67563FE3"/>
    <w:rsid w:val="675858EE"/>
    <w:rsid w:val="67627AD2"/>
    <w:rsid w:val="676A3B87"/>
    <w:rsid w:val="676B485E"/>
    <w:rsid w:val="676E4F78"/>
    <w:rsid w:val="677449AC"/>
    <w:rsid w:val="677911EC"/>
    <w:rsid w:val="677A0917"/>
    <w:rsid w:val="677A4E9D"/>
    <w:rsid w:val="677C5832"/>
    <w:rsid w:val="677D45DA"/>
    <w:rsid w:val="677F3E90"/>
    <w:rsid w:val="67806C6F"/>
    <w:rsid w:val="6782118A"/>
    <w:rsid w:val="67865938"/>
    <w:rsid w:val="678D26CB"/>
    <w:rsid w:val="6793017D"/>
    <w:rsid w:val="67973300"/>
    <w:rsid w:val="679957CC"/>
    <w:rsid w:val="679C0AF3"/>
    <w:rsid w:val="679C2948"/>
    <w:rsid w:val="67A03DA0"/>
    <w:rsid w:val="67A26160"/>
    <w:rsid w:val="67A26199"/>
    <w:rsid w:val="67A57DA7"/>
    <w:rsid w:val="67A87FD2"/>
    <w:rsid w:val="67B34162"/>
    <w:rsid w:val="67B80ECD"/>
    <w:rsid w:val="67BB4B32"/>
    <w:rsid w:val="67C33FAF"/>
    <w:rsid w:val="67C44A7A"/>
    <w:rsid w:val="67CC2BD1"/>
    <w:rsid w:val="67CF371C"/>
    <w:rsid w:val="67D52421"/>
    <w:rsid w:val="67D6716B"/>
    <w:rsid w:val="67DF5675"/>
    <w:rsid w:val="67EB0B45"/>
    <w:rsid w:val="67EF4892"/>
    <w:rsid w:val="67F10517"/>
    <w:rsid w:val="67FB68A8"/>
    <w:rsid w:val="67FD68D2"/>
    <w:rsid w:val="67FE3FA9"/>
    <w:rsid w:val="68021F9C"/>
    <w:rsid w:val="68087B51"/>
    <w:rsid w:val="68090199"/>
    <w:rsid w:val="68115643"/>
    <w:rsid w:val="681A4A31"/>
    <w:rsid w:val="681A7BFA"/>
    <w:rsid w:val="681E6844"/>
    <w:rsid w:val="68230C61"/>
    <w:rsid w:val="6824258C"/>
    <w:rsid w:val="68244BE8"/>
    <w:rsid w:val="68290671"/>
    <w:rsid w:val="6834498E"/>
    <w:rsid w:val="683A165A"/>
    <w:rsid w:val="6842016C"/>
    <w:rsid w:val="68456EFE"/>
    <w:rsid w:val="684D242D"/>
    <w:rsid w:val="685C3A19"/>
    <w:rsid w:val="6860793D"/>
    <w:rsid w:val="68631728"/>
    <w:rsid w:val="68683E15"/>
    <w:rsid w:val="686862BE"/>
    <w:rsid w:val="686B0F13"/>
    <w:rsid w:val="686C4239"/>
    <w:rsid w:val="68727C87"/>
    <w:rsid w:val="687A0752"/>
    <w:rsid w:val="687A681D"/>
    <w:rsid w:val="687C00FB"/>
    <w:rsid w:val="688A42B3"/>
    <w:rsid w:val="68912AD9"/>
    <w:rsid w:val="6893222C"/>
    <w:rsid w:val="689D445B"/>
    <w:rsid w:val="68A23C70"/>
    <w:rsid w:val="68AB006F"/>
    <w:rsid w:val="68AB24F4"/>
    <w:rsid w:val="68AB6BA9"/>
    <w:rsid w:val="68BC5661"/>
    <w:rsid w:val="68BD1952"/>
    <w:rsid w:val="68C6618F"/>
    <w:rsid w:val="68CA12F4"/>
    <w:rsid w:val="68CB3C28"/>
    <w:rsid w:val="68D03847"/>
    <w:rsid w:val="68D83887"/>
    <w:rsid w:val="68E21E85"/>
    <w:rsid w:val="68FB17D5"/>
    <w:rsid w:val="68FD494D"/>
    <w:rsid w:val="68FE364D"/>
    <w:rsid w:val="69004620"/>
    <w:rsid w:val="690B44E7"/>
    <w:rsid w:val="690D4429"/>
    <w:rsid w:val="690E0307"/>
    <w:rsid w:val="6910757E"/>
    <w:rsid w:val="691554D2"/>
    <w:rsid w:val="691B6CFF"/>
    <w:rsid w:val="693114ED"/>
    <w:rsid w:val="69413050"/>
    <w:rsid w:val="6950103D"/>
    <w:rsid w:val="695252A4"/>
    <w:rsid w:val="69534EAD"/>
    <w:rsid w:val="696065C1"/>
    <w:rsid w:val="6965098A"/>
    <w:rsid w:val="69692E5A"/>
    <w:rsid w:val="69715674"/>
    <w:rsid w:val="69721A8C"/>
    <w:rsid w:val="69763B96"/>
    <w:rsid w:val="69830335"/>
    <w:rsid w:val="698745C5"/>
    <w:rsid w:val="69874672"/>
    <w:rsid w:val="69910FA8"/>
    <w:rsid w:val="69914994"/>
    <w:rsid w:val="6995681A"/>
    <w:rsid w:val="699D29B5"/>
    <w:rsid w:val="699F5081"/>
    <w:rsid w:val="69A36EAD"/>
    <w:rsid w:val="69AF632F"/>
    <w:rsid w:val="69B12A27"/>
    <w:rsid w:val="69B30C8D"/>
    <w:rsid w:val="69B742E6"/>
    <w:rsid w:val="69B97A74"/>
    <w:rsid w:val="69BC13EB"/>
    <w:rsid w:val="69BD61E2"/>
    <w:rsid w:val="69BE0811"/>
    <w:rsid w:val="69C256B8"/>
    <w:rsid w:val="69CB0CD4"/>
    <w:rsid w:val="69D254C1"/>
    <w:rsid w:val="69D8367F"/>
    <w:rsid w:val="69E04A1E"/>
    <w:rsid w:val="69E70576"/>
    <w:rsid w:val="69E71294"/>
    <w:rsid w:val="69ED5B28"/>
    <w:rsid w:val="69F908EC"/>
    <w:rsid w:val="6A0075B1"/>
    <w:rsid w:val="6A0079CF"/>
    <w:rsid w:val="6A0271DD"/>
    <w:rsid w:val="6A05121A"/>
    <w:rsid w:val="6A0B17FC"/>
    <w:rsid w:val="6A0B5D46"/>
    <w:rsid w:val="6A0E1BB3"/>
    <w:rsid w:val="6A0E40B1"/>
    <w:rsid w:val="6A147DE5"/>
    <w:rsid w:val="6A167623"/>
    <w:rsid w:val="6A180516"/>
    <w:rsid w:val="6A1A43A1"/>
    <w:rsid w:val="6A1D2DBC"/>
    <w:rsid w:val="6A2B39D8"/>
    <w:rsid w:val="6A34307B"/>
    <w:rsid w:val="6A3F42A8"/>
    <w:rsid w:val="6A426DCA"/>
    <w:rsid w:val="6A506C6C"/>
    <w:rsid w:val="6A5242BF"/>
    <w:rsid w:val="6A542887"/>
    <w:rsid w:val="6A594032"/>
    <w:rsid w:val="6A5A7C13"/>
    <w:rsid w:val="6A5B779D"/>
    <w:rsid w:val="6A647455"/>
    <w:rsid w:val="6A717A0A"/>
    <w:rsid w:val="6A7605A2"/>
    <w:rsid w:val="6A7828DA"/>
    <w:rsid w:val="6A783C8A"/>
    <w:rsid w:val="6A87351A"/>
    <w:rsid w:val="6A8765FA"/>
    <w:rsid w:val="6A981E30"/>
    <w:rsid w:val="6A9C5006"/>
    <w:rsid w:val="6AA056E6"/>
    <w:rsid w:val="6AA968EB"/>
    <w:rsid w:val="6AB21BD9"/>
    <w:rsid w:val="6ABD4EE1"/>
    <w:rsid w:val="6ACA58A7"/>
    <w:rsid w:val="6ACA5A9D"/>
    <w:rsid w:val="6AD22859"/>
    <w:rsid w:val="6AD627E2"/>
    <w:rsid w:val="6AD64EF3"/>
    <w:rsid w:val="6AD65602"/>
    <w:rsid w:val="6ADA0C33"/>
    <w:rsid w:val="6ADA7F23"/>
    <w:rsid w:val="6ADE56A2"/>
    <w:rsid w:val="6AE243A8"/>
    <w:rsid w:val="6AE569B4"/>
    <w:rsid w:val="6AE633C4"/>
    <w:rsid w:val="6AE979A0"/>
    <w:rsid w:val="6AEE20FC"/>
    <w:rsid w:val="6AF00766"/>
    <w:rsid w:val="6AF333A4"/>
    <w:rsid w:val="6AF67F07"/>
    <w:rsid w:val="6AFD388A"/>
    <w:rsid w:val="6B016494"/>
    <w:rsid w:val="6B03550E"/>
    <w:rsid w:val="6B0479CA"/>
    <w:rsid w:val="6B066406"/>
    <w:rsid w:val="6B07577A"/>
    <w:rsid w:val="6B097841"/>
    <w:rsid w:val="6B105217"/>
    <w:rsid w:val="6B132A3C"/>
    <w:rsid w:val="6B1920EE"/>
    <w:rsid w:val="6B290FDE"/>
    <w:rsid w:val="6B362B70"/>
    <w:rsid w:val="6B366C10"/>
    <w:rsid w:val="6B394372"/>
    <w:rsid w:val="6B3C0302"/>
    <w:rsid w:val="6B423677"/>
    <w:rsid w:val="6B4F3986"/>
    <w:rsid w:val="6B541062"/>
    <w:rsid w:val="6B6241A7"/>
    <w:rsid w:val="6B671110"/>
    <w:rsid w:val="6B6B2F02"/>
    <w:rsid w:val="6B6C1E22"/>
    <w:rsid w:val="6B6D624F"/>
    <w:rsid w:val="6B6E762B"/>
    <w:rsid w:val="6B710E08"/>
    <w:rsid w:val="6B766AE1"/>
    <w:rsid w:val="6B777CC2"/>
    <w:rsid w:val="6B790540"/>
    <w:rsid w:val="6B8A193F"/>
    <w:rsid w:val="6B916944"/>
    <w:rsid w:val="6B97565B"/>
    <w:rsid w:val="6B986115"/>
    <w:rsid w:val="6B9E729D"/>
    <w:rsid w:val="6BAB668E"/>
    <w:rsid w:val="6BB058E6"/>
    <w:rsid w:val="6BB46C89"/>
    <w:rsid w:val="6BBD70C3"/>
    <w:rsid w:val="6BC35FEF"/>
    <w:rsid w:val="6BC81B23"/>
    <w:rsid w:val="6BCE19F9"/>
    <w:rsid w:val="6BCF6E20"/>
    <w:rsid w:val="6BCF79EF"/>
    <w:rsid w:val="6BD0662C"/>
    <w:rsid w:val="6BD42A06"/>
    <w:rsid w:val="6BD975B9"/>
    <w:rsid w:val="6BDB01F7"/>
    <w:rsid w:val="6BDB2717"/>
    <w:rsid w:val="6BDC44EE"/>
    <w:rsid w:val="6BDF0CE3"/>
    <w:rsid w:val="6BEC5DF7"/>
    <w:rsid w:val="6BEE27F8"/>
    <w:rsid w:val="6BEF1CA0"/>
    <w:rsid w:val="6BF5122B"/>
    <w:rsid w:val="6BFB317C"/>
    <w:rsid w:val="6C021F96"/>
    <w:rsid w:val="6C1644CB"/>
    <w:rsid w:val="6C181A25"/>
    <w:rsid w:val="6C190C6E"/>
    <w:rsid w:val="6C1B6F4F"/>
    <w:rsid w:val="6C334D13"/>
    <w:rsid w:val="6C351E3B"/>
    <w:rsid w:val="6C364135"/>
    <w:rsid w:val="6C387891"/>
    <w:rsid w:val="6C394B11"/>
    <w:rsid w:val="6C3D6F40"/>
    <w:rsid w:val="6C3E1F1A"/>
    <w:rsid w:val="6C4F2505"/>
    <w:rsid w:val="6C532A9D"/>
    <w:rsid w:val="6C5676B4"/>
    <w:rsid w:val="6C57699C"/>
    <w:rsid w:val="6C5A7F7F"/>
    <w:rsid w:val="6C7567C0"/>
    <w:rsid w:val="6C783B8B"/>
    <w:rsid w:val="6C8859D6"/>
    <w:rsid w:val="6C8A641C"/>
    <w:rsid w:val="6C8D1A98"/>
    <w:rsid w:val="6C8F759E"/>
    <w:rsid w:val="6C921D5E"/>
    <w:rsid w:val="6CA66751"/>
    <w:rsid w:val="6CAA564F"/>
    <w:rsid w:val="6CB165F9"/>
    <w:rsid w:val="6CBB170A"/>
    <w:rsid w:val="6CBE48F7"/>
    <w:rsid w:val="6CC364DC"/>
    <w:rsid w:val="6CC42554"/>
    <w:rsid w:val="6CC6707D"/>
    <w:rsid w:val="6CC8377B"/>
    <w:rsid w:val="6CC91521"/>
    <w:rsid w:val="6CCE130E"/>
    <w:rsid w:val="6CCE30DB"/>
    <w:rsid w:val="6CCE60CB"/>
    <w:rsid w:val="6CD711A0"/>
    <w:rsid w:val="6CD7422C"/>
    <w:rsid w:val="6CD927AA"/>
    <w:rsid w:val="6CDB43AF"/>
    <w:rsid w:val="6CE423D6"/>
    <w:rsid w:val="6CEA2692"/>
    <w:rsid w:val="6CFE42CF"/>
    <w:rsid w:val="6D08207C"/>
    <w:rsid w:val="6D096DE3"/>
    <w:rsid w:val="6D0C791B"/>
    <w:rsid w:val="6D0F1627"/>
    <w:rsid w:val="6D0F1DE2"/>
    <w:rsid w:val="6D1D3D59"/>
    <w:rsid w:val="6D1F7714"/>
    <w:rsid w:val="6D2347E5"/>
    <w:rsid w:val="6D244EC8"/>
    <w:rsid w:val="6D2F5A11"/>
    <w:rsid w:val="6D302D4F"/>
    <w:rsid w:val="6D334C7C"/>
    <w:rsid w:val="6D383DF8"/>
    <w:rsid w:val="6D3933CD"/>
    <w:rsid w:val="6D3D4021"/>
    <w:rsid w:val="6D4052FC"/>
    <w:rsid w:val="6D411255"/>
    <w:rsid w:val="6D441DF0"/>
    <w:rsid w:val="6D4F7D25"/>
    <w:rsid w:val="6D5959B4"/>
    <w:rsid w:val="6D600B3E"/>
    <w:rsid w:val="6D601271"/>
    <w:rsid w:val="6D616962"/>
    <w:rsid w:val="6D627BE8"/>
    <w:rsid w:val="6D730A2F"/>
    <w:rsid w:val="6D7B5D69"/>
    <w:rsid w:val="6D7F5F6F"/>
    <w:rsid w:val="6D8058C9"/>
    <w:rsid w:val="6D830D15"/>
    <w:rsid w:val="6D8929E1"/>
    <w:rsid w:val="6D8C5AD4"/>
    <w:rsid w:val="6D991049"/>
    <w:rsid w:val="6D9C63F9"/>
    <w:rsid w:val="6DA42494"/>
    <w:rsid w:val="6DA93C4A"/>
    <w:rsid w:val="6DA97DA3"/>
    <w:rsid w:val="6DC21E33"/>
    <w:rsid w:val="6DCB1B5A"/>
    <w:rsid w:val="6DD92F40"/>
    <w:rsid w:val="6DD93FCE"/>
    <w:rsid w:val="6DE13755"/>
    <w:rsid w:val="6DE26580"/>
    <w:rsid w:val="6DE373FD"/>
    <w:rsid w:val="6DE56169"/>
    <w:rsid w:val="6DEB15C9"/>
    <w:rsid w:val="6DF004EC"/>
    <w:rsid w:val="6DFB2277"/>
    <w:rsid w:val="6E0278B7"/>
    <w:rsid w:val="6E055464"/>
    <w:rsid w:val="6E056A0A"/>
    <w:rsid w:val="6E0A782F"/>
    <w:rsid w:val="6E1545BB"/>
    <w:rsid w:val="6E1823F6"/>
    <w:rsid w:val="6E1A1F8F"/>
    <w:rsid w:val="6E246372"/>
    <w:rsid w:val="6E2B4D7F"/>
    <w:rsid w:val="6E306E7A"/>
    <w:rsid w:val="6E3F0453"/>
    <w:rsid w:val="6E40694F"/>
    <w:rsid w:val="6E4A360B"/>
    <w:rsid w:val="6E527318"/>
    <w:rsid w:val="6E533909"/>
    <w:rsid w:val="6E53412D"/>
    <w:rsid w:val="6E5A0C83"/>
    <w:rsid w:val="6E6611C9"/>
    <w:rsid w:val="6E66330B"/>
    <w:rsid w:val="6E734F23"/>
    <w:rsid w:val="6E795374"/>
    <w:rsid w:val="6E7F749B"/>
    <w:rsid w:val="6E8A5749"/>
    <w:rsid w:val="6E8C2D6B"/>
    <w:rsid w:val="6E8D21FE"/>
    <w:rsid w:val="6E8D2D30"/>
    <w:rsid w:val="6E950C08"/>
    <w:rsid w:val="6E994BE6"/>
    <w:rsid w:val="6E9E6595"/>
    <w:rsid w:val="6EA04DB0"/>
    <w:rsid w:val="6EAB7B03"/>
    <w:rsid w:val="6EB46D20"/>
    <w:rsid w:val="6EBB6CA3"/>
    <w:rsid w:val="6ECA68F9"/>
    <w:rsid w:val="6ECB6C0D"/>
    <w:rsid w:val="6ECD55B1"/>
    <w:rsid w:val="6ED06513"/>
    <w:rsid w:val="6ED960D0"/>
    <w:rsid w:val="6EDE5FA9"/>
    <w:rsid w:val="6EDF49C3"/>
    <w:rsid w:val="6EDF550A"/>
    <w:rsid w:val="6EE247A2"/>
    <w:rsid w:val="6EE87298"/>
    <w:rsid w:val="6EF27691"/>
    <w:rsid w:val="6EF41EC8"/>
    <w:rsid w:val="6EF74F71"/>
    <w:rsid w:val="6EFA6A1F"/>
    <w:rsid w:val="6F112D49"/>
    <w:rsid w:val="6F114CDB"/>
    <w:rsid w:val="6F1327E3"/>
    <w:rsid w:val="6F196CD5"/>
    <w:rsid w:val="6F1C0661"/>
    <w:rsid w:val="6F2074B0"/>
    <w:rsid w:val="6F211AE0"/>
    <w:rsid w:val="6F2173A7"/>
    <w:rsid w:val="6F393A2D"/>
    <w:rsid w:val="6F3E6DB3"/>
    <w:rsid w:val="6F4E0D13"/>
    <w:rsid w:val="6F51412C"/>
    <w:rsid w:val="6F5466C9"/>
    <w:rsid w:val="6F55738A"/>
    <w:rsid w:val="6F577157"/>
    <w:rsid w:val="6F5A21F8"/>
    <w:rsid w:val="6F5B51C0"/>
    <w:rsid w:val="6F632A81"/>
    <w:rsid w:val="6F781F28"/>
    <w:rsid w:val="6F7A6CCF"/>
    <w:rsid w:val="6F7B18A9"/>
    <w:rsid w:val="6F7B35DC"/>
    <w:rsid w:val="6F7E0982"/>
    <w:rsid w:val="6F81744C"/>
    <w:rsid w:val="6F834708"/>
    <w:rsid w:val="6F8347E5"/>
    <w:rsid w:val="6F853E06"/>
    <w:rsid w:val="6F876076"/>
    <w:rsid w:val="6F8B3F42"/>
    <w:rsid w:val="6F8B740B"/>
    <w:rsid w:val="6F8D1212"/>
    <w:rsid w:val="6F9922C2"/>
    <w:rsid w:val="6F9927C3"/>
    <w:rsid w:val="6F9C43F1"/>
    <w:rsid w:val="6FA517DA"/>
    <w:rsid w:val="6FA545B5"/>
    <w:rsid w:val="6FA7572E"/>
    <w:rsid w:val="6FAC7DD3"/>
    <w:rsid w:val="6FBA7750"/>
    <w:rsid w:val="6FC6510E"/>
    <w:rsid w:val="6FCE111B"/>
    <w:rsid w:val="6FD0242B"/>
    <w:rsid w:val="6FD6686F"/>
    <w:rsid w:val="6FD955F9"/>
    <w:rsid w:val="6FDF65CF"/>
    <w:rsid w:val="6FE5463B"/>
    <w:rsid w:val="6FE8248C"/>
    <w:rsid w:val="6FE95F3C"/>
    <w:rsid w:val="6FEF7F98"/>
    <w:rsid w:val="6FF23135"/>
    <w:rsid w:val="6FF460CF"/>
    <w:rsid w:val="6FF7503E"/>
    <w:rsid w:val="6FFE1AE2"/>
    <w:rsid w:val="6FFF3870"/>
    <w:rsid w:val="70055C6F"/>
    <w:rsid w:val="700C4F01"/>
    <w:rsid w:val="700E0A44"/>
    <w:rsid w:val="70134132"/>
    <w:rsid w:val="7013470C"/>
    <w:rsid w:val="70173363"/>
    <w:rsid w:val="701B30DD"/>
    <w:rsid w:val="701C032D"/>
    <w:rsid w:val="701F7AD1"/>
    <w:rsid w:val="702039B7"/>
    <w:rsid w:val="7023683F"/>
    <w:rsid w:val="70280859"/>
    <w:rsid w:val="702B28F4"/>
    <w:rsid w:val="702C02D0"/>
    <w:rsid w:val="702D35A7"/>
    <w:rsid w:val="70315BBF"/>
    <w:rsid w:val="70352925"/>
    <w:rsid w:val="70374988"/>
    <w:rsid w:val="703F5ADB"/>
    <w:rsid w:val="70403B57"/>
    <w:rsid w:val="704747EA"/>
    <w:rsid w:val="705051EC"/>
    <w:rsid w:val="70513863"/>
    <w:rsid w:val="7051690F"/>
    <w:rsid w:val="70564366"/>
    <w:rsid w:val="705838E8"/>
    <w:rsid w:val="705B12ED"/>
    <w:rsid w:val="705C76DF"/>
    <w:rsid w:val="70637F71"/>
    <w:rsid w:val="706508DF"/>
    <w:rsid w:val="70654A70"/>
    <w:rsid w:val="706778DE"/>
    <w:rsid w:val="707B17E4"/>
    <w:rsid w:val="707C7F6C"/>
    <w:rsid w:val="7082116B"/>
    <w:rsid w:val="708B7E9C"/>
    <w:rsid w:val="708D1C5E"/>
    <w:rsid w:val="70922765"/>
    <w:rsid w:val="70942298"/>
    <w:rsid w:val="709F6675"/>
    <w:rsid w:val="70A3578E"/>
    <w:rsid w:val="70A659EE"/>
    <w:rsid w:val="70A70AB1"/>
    <w:rsid w:val="70AB133D"/>
    <w:rsid w:val="70AB72AE"/>
    <w:rsid w:val="70B15F02"/>
    <w:rsid w:val="70B62B1B"/>
    <w:rsid w:val="70B90013"/>
    <w:rsid w:val="70BF0373"/>
    <w:rsid w:val="70C234EB"/>
    <w:rsid w:val="70C81EAF"/>
    <w:rsid w:val="70C930D0"/>
    <w:rsid w:val="70CD14F5"/>
    <w:rsid w:val="70D17951"/>
    <w:rsid w:val="70D63A18"/>
    <w:rsid w:val="70DB6936"/>
    <w:rsid w:val="70DD4176"/>
    <w:rsid w:val="70E37DCF"/>
    <w:rsid w:val="70E64278"/>
    <w:rsid w:val="70E6505B"/>
    <w:rsid w:val="70E92159"/>
    <w:rsid w:val="70F6595C"/>
    <w:rsid w:val="71013DBA"/>
    <w:rsid w:val="71073A26"/>
    <w:rsid w:val="710A2B60"/>
    <w:rsid w:val="710A31C8"/>
    <w:rsid w:val="7112346D"/>
    <w:rsid w:val="7115156B"/>
    <w:rsid w:val="71180CA8"/>
    <w:rsid w:val="71180E81"/>
    <w:rsid w:val="711E0E24"/>
    <w:rsid w:val="711E2D3C"/>
    <w:rsid w:val="712845BD"/>
    <w:rsid w:val="71360CD9"/>
    <w:rsid w:val="713A43F7"/>
    <w:rsid w:val="714177A3"/>
    <w:rsid w:val="714814E8"/>
    <w:rsid w:val="714A5D9F"/>
    <w:rsid w:val="714D7206"/>
    <w:rsid w:val="714E7411"/>
    <w:rsid w:val="714F16BB"/>
    <w:rsid w:val="7151721C"/>
    <w:rsid w:val="71555A6B"/>
    <w:rsid w:val="71625C41"/>
    <w:rsid w:val="71653889"/>
    <w:rsid w:val="7169384A"/>
    <w:rsid w:val="717117BD"/>
    <w:rsid w:val="717175B9"/>
    <w:rsid w:val="71717D0F"/>
    <w:rsid w:val="71792A03"/>
    <w:rsid w:val="717D3840"/>
    <w:rsid w:val="7186339E"/>
    <w:rsid w:val="718A7A96"/>
    <w:rsid w:val="718C0FD5"/>
    <w:rsid w:val="718D4B4B"/>
    <w:rsid w:val="718E63D9"/>
    <w:rsid w:val="71933E05"/>
    <w:rsid w:val="719413B0"/>
    <w:rsid w:val="71997528"/>
    <w:rsid w:val="719C18BD"/>
    <w:rsid w:val="71B60D83"/>
    <w:rsid w:val="71BC18F9"/>
    <w:rsid w:val="71C21B83"/>
    <w:rsid w:val="71CC1096"/>
    <w:rsid w:val="71D459E3"/>
    <w:rsid w:val="71D56648"/>
    <w:rsid w:val="71DD31E1"/>
    <w:rsid w:val="71E01019"/>
    <w:rsid w:val="71EA7AC7"/>
    <w:rsid w:val="71F1067C"/>
    <w:rsid w:val="71F27D0B"/>
    <w:rsid w:val="71F917EC"/>
    <w:rsid w:val="71FD4F69"/>
    <w:rsid w:val="7203750B"/>
    <w:rsid w:val="72052991"/>
    <w:rsid w:val="7206131A"/>
    <w:rsid w:val="720B5C5E"/>
    <w:rsid w:val="720B7C2D"/>
    <w:rsid w:val="720C3F9D"/>
    <w:rsid w:val="720F30A3"/>
    <w:rsid w:val="72207A65"/>
    <w:rsid w:val="72212FBF"/>
    <w:rsid w:val="72213906"/>
    <w:rsid w:val="72286296"/>
    <w:rsid w:val="722C18DA"/>
    <w:rsid w:val="72321B05"/>
    <w:rsid w:val="7234351F"/>
    <w:rsid w:val="723B0C9A"/>
    <w:rsid w:val="723B1E9B"/>
    <w:rsid w:val="723B73B2"/>
    <w:rsid w:val="723D2795"/>
    <w:rsid w:val="72411297"/>
    <w:rsid w:val="72442508"/>
    <w:rsid w:val="72460A75"/>
    <w:rsid w:val="72491F3B"/>
    <w:rsid w:val="724E1FB5"/>
    <w:rsid w:val="724E70E9"/>
    <w:rsid w:val="72523B9E"/>
    <w:rsid w:val="725735D5"/>
    <w:rsid w:val="725748FF"/>
    <w:rsid w:val="72597F59"/>
    <w:rsid w:val="725A7266"/>
    <w:rsid w:val="725C6D3A"/>
    <w:rsid w:val="725E1845"/>
    <w:rsid w:val="72620A4E"/>
    <w:rsid w:val="72697041"/>
    <w:rsid w:val="726F7F76"/>
    <w:rsid w:val="727047CE"/>
    <w:rsid w:val="72780647"/>
    <w:rsid w:val="728000CE"/>
    <w:rsid w:val="728A1748"/>
    <w:rsid w:val="728C1ED1"/>
    <w:rsid w:val="72953E49"/>
    <w:rsid w:val="7297468D"/>
    <w:rsid w:val="72BD2825"/>
    <w:rsid w:val="72C73849"/>
    <w:rsid w:val="72C76066"/>
    <w:rsid w:val="72C97EF4"/>
    <w:rsid w:val="72CB1258"/>
    <w:rsid w:val="72D72615"/>
    <w:rsid w:val="72E41630"/>
    <w:rsid w:val="72E71D9E"/>
    <w:rsid w:val="72EA39C2"/>
    <w:rsid w:val="72ED42C4"/>
    <w:rsid w:val="72EE2685"/>
    <w:rsid w:val="731130D9"/>
    <w:rsid w:val="731260F6"/>
    <w:rsid w:val="7313240C"/>
    <w:rsid w:val="731B3955"/>
    <w:rsid w:val="731D33AB"/>
    <w:rsid w:val="7320483F"/>
    <w:rsid w:val="73231AF0"/>
    <w:rsid w:val="7328228B"/>
    <w:rsid w:val="732A03DE"/>
    <w:rsid w:val="732B0817"/>
    <w:rsid w:val="732E2352"/>
    <w:rsid w:val="732F0E11"/>
    <w:rsid w:val="732F7CF1"/>
    <w:rsid w:val="733542D3"/>
    <w:rsid w:val="734112A7"/>
    <w:rsid w:val="73422B44"/>
    <w:rsid w:val="734825E7"/>
    <w:rsid w:val="73483813"/>
    <w:rsid w:val="734E6078"/>
    <w:rsid w:val="73565F87"/>
    <w:rsid w:val="73571EB9"/>
    <w:rsid w:val="735940C4"/>
    <w:rsid w:val="735B19DC"/>
    <w:rsid w:val="735F1ED8"/>
    <w:rsid w:val="735F7E41"/>
    <w:rsid w:val="73607555"/>
    <w:rsid w:val="7362444C"/>
    <w:rsid w:val="73637D68"/>
    <w:rsid w:val="73673291"/>
    <w:rsid w:val="736C58BA"/>
    <w:rsid w:val="736F292A"/>
    <w:rsid w:val="736F2D51"/>
    <w:rsid w:val="73746F43"/>
    <w:rsid w:val="737841F1"/>
    <w:rsid w:val="73792A82"/>
    <w:rsid w:val="737E70DD"/>
    <w:rsid w:val="737F5BCA"/>
    <w:rsid w:val="73845CF8"/>
    <w:rsid w:val="73853BA7"/>
    <w:rsid w:val="738A4C06"/>
    <w:rsid w:val="738B37DA"/>
    <w:rsid w:val="738C451F"/>
    <w:rsid w:val="739766FD"/>
    <w:rsid w:val="73A02AF8"/>
    <w:rsid w:val="73B43C57"/>
    <w:rsid w:val="73B92A92"/>
    <w:rsid w:val="73BF420B"/>
    <w:rsid w:val="73C76BF8"/>
    <w:rsid w:val="73CA29D8"/>
    <w:rsid w:val="73CA3B51"/>
    <w:rsid w:val="73D00F12"/>
    <w:rsid w:val="73D03795"/>
    <w:rsid w:val="73D140E2"/>
    <w:rsid w:val="73E157D8"/>
    <w:rsid w:val="73E16E31"/>
    <w:rsid w:val="73E754F0"/>
    <w:rsid w:val="73EE7179"/>
    <w:rsid w:val="74081356"/>
    <w:rsid w:val="740A456F"/>
    <w:rsid w:val="740D2E06"/>
    <w:rsid w:val="741D676E"/>
    <w:rsid w:val="741D7B63"/>
    <w:rsid w:val="74206A46"/>
    <w:rsid w:val="74243026"/>
    <w:rsid w:val="742D5A28"/>
    <w:rsid w:val="743523BF"/>
    <w:rsid w:val="74353409"/>
    <w:rsid w:val="7436244A"/>
    <w:rsid w:val="743E71DA"/>
    <w:rsid w:val="7445566E"/>
    <w:rsid w:val="744718BD"/>
    <w:rsid w:val="74492298"/>
    <w:rsid w:val="74504B7A"/>
    <w:rsid w:val="74507053"/>
    <w:rsid w:val="745C14BA"/>
    <w:rsid w:val="746434D8"/>
    <w:rsid w:val="74663D3E"/>
    <w:rsid w:val="746844C7"/>
    <w:rsid w:val="746937E2"/>
    <w:rsid w:val="746A70D3"/>
    <w:rsid w:val="7474544F"/>
    <w:rsid w:val="74776BC6"/>
    <w:rsid w:val="74783685"/>
    <w:rsid w:val="74824855"/>
    <w:rsid w:val="748C228E"/>
    <w:rsid w:val="748F3BE5"/>
    <w:rsid w:val="74933988"/>
    <w:rsid w:val="74971CF5"/>
    <w:rsid w:val="74A777EB"/>
    <w:rsid w:val="74BF6687"/>
    <w:rsid w:val="74BF6D26"/>
    <w:rsid w:val="74C35BBB"/>
    <w:rsid w:val="74C42310"/>
    <w:rsid w:val="74DB181D"/>
    <w:rsid w:val="74DC2BE7"/>
    <w:rsid w:val="74F12C3B"/>
    <w:rsid w:val="74FB071A"/>
    <w:rsid w:val="74FC1613"/>
    <w:rsid w:val="74FE7B3A"/>
    <w:rsid w:val="74FF44C8"/>
    <w:rsid w:val="750F22C6"/>
    <w:rsid w:val="751140F4"/>
    <w:rsid w:val="75114F31"/>
    <w:rsid w:val="75135115"/>
    <w:rsid w:val="7524446A"/>
    <w:rsid w:val="752822D4"/>
    <w:rsid w:val="752A78F2"/>
    <w:rsid w:val="752D60DC"/>
    <w:rsid w:val="75366595"/>
    <w:rsid w:val="754343D2"/>
    <w:rsid w:val="754B6D67"/>
    <w:rsid w:val="754E4B93"/>
    <w:rsid w:val="754F5D80"/>
    <w:rsid w:val="75507B87"/>
    <w:rsid w:val="75511AC7"/>
    <w:rsid w:val="75544606"/>
    <w:rsid w:val="75655665"/>
    <w:rsid w:val="756A670D"/>
    <w:rsid w:val="756F3042"/>
    <w:rsid w:val="75707F48"/>
    <w:rsid w:val="75734E18"/>
    <w:rsid w:val="757850D0"/>
    <w:rsid w:val="757C0318"/>
    <w:rsid w:val="75831916"/>
    <w:rsid w:val="7585664C"/>
    <w:rsid w:val="75884D40"/>
    <w:rsid w:val="758955B6"/>
    <w:rsid w:val="758F5C71"/>
    <w:rsid w:val="7595431D"/>
    <w:rsid w:val="75965A72"/>
    <w:rsid w:val="759E3BBA"/>
    <w:rsid w:val="759F679D"/>
    <w:rsid w:val="75A41CF0"/>
    <w:rsid w:val="75A91AD7"/>
    <w:rsid w:val="75A92FBC"/>
    <w:rsid w:val="75AA29D7"/>
    <w:rsid w:val="75AD3D49"/>
    <w:rsid w:val="75AF6DE0"/>
    <w:rsid w:val="75B1731B"/>
    <w:rsid w:val="75B82DD5"/>
    <w:rsid w:val="75BA5664"/>
    <w:rsid w:val="75BF7F47"/>
    <w:rsid w:val="75CB4F5A"/>
    <w:rsid w:val="75CC37C1"/>
    <w:rsid w:val="75CE20FD"/>
    <w:rsid w:val="75D06459"/>
    <w:rsid w:val="75D125E4"/>
    <w:rsid w:val="75D431E5"/>
    <w:rsid w:val="75D733C7"/>
    <w:rsid w:val="75DB67D2"/>
    <w:rsid w:val="75E1452B"/>
    <w:rsid w:val="75EA2C99"/>
    <w:rsid w:val="75F00C22"/>
    <w:rsid w:val="75F201B5"/>
    <w:rsid w:val="75F26B3E"/>
    <w:rsid w:val="75F33055"/>
    <w:rsid w:val="75F90C94"/>
    <w:rsid w:val="75F955A0"/>
    <w:rsid w:val="75FC3C7D"/>
    <w:rsid w:val="760268A8"/>
    <w:rsid w:val="760873AD"/>
    <w:rsid w:val="76094B23"/>
    <w:rsid w:val="760B71EE"/>
    <w:rsid w:val="760C3F13"/>
    <w:rsid w:val="760E210D"/>
    <w:rsid w:val="761C38D9"/>
    <w:rsid w:val="762045DB"/>
    <w:rsid w:val="762310F6"/>
    <w:rsid w:val="7624379E"/>
    <w:rsid w:val="762547D6"/>
    <w:rsid w:val="76380A7A"/>
    <w:rsid w:val="765331AF"/>
    <w:rsid w:val="765343E5"/>
    <w:rsid w:val="76661EAF"/>
    <w:rsid w:val="766D0222"/>
    <w:rsid w:val="76725226"/>
    <w:rsid w:val="76741E76"/>
    <w:rsid w:val="7675154F"/>
    <w:rsid w:val="7675739E"/>
    <w:rsid w:val="767678CA"/>
    <w:rsid w:val="767678D2"/>
    <w:rsid w:val="767C156E"/>
    <w:rsid w:val="767C5D91"/>
    <w:rsid w:val="768B355B"/>
    <w:rsid w:val="768C593D"/>
    <w:rsid w:val="768C680C"/>
    <w:rsid w:val="76957405"/>
    <w:rsid w:val="76981A02"/>
    <w:rsid w:val="769A7614"/>
    <w:rsid w:val="769B50A8"/>
    <w:rsid w:val="76A231B3"/>
    <w:rsid w:val="76A65CA3"/>
    <w:rsid w:val="76A84875"/>
    <w:rsid w:val="76BB70ED"/>
    <w:rsid w:val="76C30EE4"/>
    <w:rsid w:val="76C4314E"/>
    <w:rsid w:val="76CD17F4"/>
    <w:rsid w:val="76D751BD"/>
    <w:rsid w:val="76DA53B2"/>
    <w:rsid w:val="76E53447"/>
    <w:rsid w:val="76E73CC1"/>
    <w:rsid w:val="76EF72E8"/>
    <w:rsid w:val="76F12605"/>
    <w:rsid w:val="76F313A0"/>
    <w:rsid w:val="77033FFD"/>
    <w:rsid w:val="770372C7"/>
    <w:rsid w:val="770F3630"/>
    <w:rsid w:val="77123E42"/>
    <w:rsid w:val="771610EF"/>
    <w:rsid w:val="771D1BBC"/>
    <w:rsid w:val="771E2877"/>
    <w:rsid w:val="7723066B"/>
    <w:rsid w:val="77257504"/>
    <w:rsid w:val="772C01BE"/>
    <w:rsid w:val="772C61DD"/>
    <w:rsid w:val="772C67ED"/>
    <w:rsid w:val="772D4303"/>
    <w:rsid w:val="772E0A5D"/>
    <w:rsid w:val="772F6EB5"/>
    <w:rsid w:val="773128A2"/>
    <w:rsid w:val="773B279B"/>
    <w:rsid w:val="773C165B"/>
    <w:rsid w:val="773F2360"/>
    <w:rsid w:val="773F352E"/>
    <w:rsid w:val="774750EC"/>
    <w:rsid w:val="77487269"/>
    <w:rsid w:val="774901F4"/>
    <w:rsid w:val="774B0EEC"/>
    <w:rsid w:val="775A34DA"/>
    <w:rsid w:val="776D1F58"/>
    <w:rsid w:val="777905E8"/>
    <w:rsid w:val="777D12FA"/>
    <w:rsid w:val="7785245B"/>
    <w:rsid w:val="7788252F"/>
    <w:rsid w:val="778F7317"/>
    <w:rsid w:val="779663BE"/>
    <w:rsid w:val="77977663"/>
    <w:rsid w:val="779B0DD9"/>
    <w:rsid w:val="77A02279"/>
    <w:rsid w:val="77A72D32"/>
    <w:rsid w:val="77A82D23"/>
    <w:rsid w:val="77AC0024"/>
    <w:rsid w:val="77AC300C"/>
    <w:rsid w:val="77AF4358"/>
    <w:rsid w:val="77B33B6B"/>
    <w:rsid w:val="77B90412"/>
    <w:rsid w:val="77C15D17"/>
    <w:rsid w:val="77CB25F2"/>
    <w:rsid w:val="77D45574"/>
    <w:rsid w:val="77DD3463"/>
    <w:rsid w:val="77E36DBE"/>
    <w:rsid w:val="77ED4910"/>
    <w:rsid w:val="77EE3B84"/>
    <w:rsid w:val="77EE48A0"/>
    <w:rsid w:val="77F113E6"/>
    <w:rsid w:val="77F34E5A"/>
    <w:rsid w:val="77F8532A"/>
    <w:rsid w:val="77FD31EB"/>
    <w:rsid w:val="78035F08"/>
    <w:rsid w:val="780423B9"/>
    <w:rsid w:val="78051144"/>
    <w:rsid w:val="780F5327"/>
    <w:rsid w:val="78107D3B"/>
    <w:rsid w:val="78132D90"/>
    <w:rsid w:val="781C6188"/>
    <w:rsid w:val="782313D4"/>
    <w:rsid w:val="782A0F1C"/>
    <w:rsid w:val="78325507"/>
    <w:rsid w:val="78356846"/>
    <w:rsid w:val="783E1719"/>
    <w:rsid w:val="78431CD7"/>
    <w:rsid w:val="784D0914"/>
    <w:rsid w:val="784D7F99"/>
    <w:rsid w:val="78525825"/>
    <w:rsid w:val="78532C2F"/>
    <w:rsid w:val="78535219"/>
    <w:rsid w:val="78536C89"/>
    <w:rsid w:val="785A775C"/>
    <w:rsid w:val="785C711F"/>
    <w:rsid w:val="78656A65"/>
    <w:rsid w:val="78661915"/>
    <w:rsid w:val="78675391"/>
    <w:rsid w:val="7867724F"/>
    <w:rsid w:val="786B6388"/>
    <w:rsid w:val="786C32FD"/>
    <w:rsid w:val="786E6AB7"/>
    <w:rsid w:val="786E712C"/>
    <w:rsid w:val="786F37FC"/>
    <w:rsid w:val="78756709"/>
    <w:rsid w:val="787D5277"/>
    <w:rsid w:val="787D665C"/>
    <w:rsid w:val="788411D3"/>
    <w:rsid w:val="788A36FF"/>
    <w:rsid w:val="788C1666"/>
    <w:rsid w:val="788C4CB6"/>
    <w:rsid w:val="78900481"/>
    <w:rsid w:val="78913A5E"/>
    <w:rsid w:val="78937A5D"/>
    <w:rsid w:val="78983AD1"/>
    <w:rsid w:val="7899177D"/>
    <w:rsid w:val="78A13CE6"/>
    <w:rsid w:val="78A86F13"/>
    <w:rsid w:val="78AA2056"/>
    <w:rsid w:val="78AF1E44"/>
    <w:rsid w:val="78B30DAC"/>
    <w:rsid w:val="78B67592"/>
    <w:rsid w:val="78BA601B"/>
    <w:rsid w:val="78BB1818"/>
    <w:rsid w:val="78C045D0"/>
    <w:rsid w:val="78C1090E"/>
    <w:rsid w:val="78C24B6E"/>
    <w:rsid w:val="78E050D5"/>
    <w:rsid w:val="78E916CA"/>
    <w:rsid w:val="78E92EA6"/>
    <w:rsid w:val="78E97169"/>
    <w:rsid w:val="78ED7D14"/>
    <w:rsid w:val="78EE7843"/>
    <w:rsid w:val="78F428E1"/>
    <w:rsid w:val="78F736B8"/>
    <w:rsid w:val="78FA5141"/>
    <w:rsid w:val="790146A5"/>
    <w:rsid w:val="79026B24"/>
    <w:rsid w:val="79033E81"/>
    <w:rsid w:val="79066CFE"/>
    <w:rsid w:val="79150EE8"/>
    <w:rsid w:val="791E2B0D"/>
    <w:rsid w:val="792E1695"/>
    <w:rsid w:val="793819FD"/>
    <w:rsid w:val="793A7709"/>
    <w:rsid w:val="793F4B73"/>
    <w:rsid w:val="79485A6A"/>
    <w:rsid w:val="794A7537"/>
    <w:rsid w:val="794C7092"/>
    <w:rsid w:val="79512818"/>
    <w:rsid w:val="795821A2"/>
    <w:rsid w:val="796706F4"/>
    <w:rsid w:val="79734051"/>
    <w:rsid w:val="7974249E"/>
    <w:rsid w:val="797856AA"/>
    <w:rsid w:val="7979640B"/>
    <w:rsid w:val="798170EC"/>
    <w:rsid w:val="79840ED4"/>
    <w:rsid w:val="798F1F99"/>
    <w:rsid w:val="79913601"/>
    <w:rsid w:val="799B24BB"/>
    <w:rsid w:val="799F0F07"/>
    <w:rsid w:val="79A26C36"/>
    <w:rsid w:val="79A358A9"/>
    <w:rsid w:val="79AF7A5A"/>
    <w:rsid w:val="79B37804"/>
    <w:rsid w:val="79C040B4"/>
    <w:rsid w:val="79C27653"/>
    <w:rsid w:val="79C7475C"/>
    <w:rsid w:val="79CA5151"/>
    <w:rsid w:val="79D607DD"/>
    <w:rsid w:val="79DC05AA"/>
    <w:rsid w:val="79E07FF6"/>
    <w:rsid w:val="79E3364B"/>
    <w:rsid w:val="79E70843"/>
    <w:rsid w:val="79F045C4"/>
    <w:rsid w:val="79F53325"/>
    <w:rsid w:val="79F619CE"/>
    <w:rsid w:val="79F814CA"/>
    <w:rsid w:val="79FD4771"/>
    <w:rsid w:val="79FD54C7"/>
    <w:rsid w:val="7A0566E5"/>
    <w:rsid w:val="7A0A3E94"/>
    <w:rsid w:val="7A0F22C3"/>
    <w:rsid w:val="7A187299"/>
    <w:rsid w:val="7A187F5D"/>
    <w:rsid w:val="7A215D0A"/>
    <w:rsid w:val="7A2455C3"/>
    <w:rsid w:val="7A2608D4"/>
    <w:rsid w:val="7A2736A2"/>
    <w:rsid w:val="7A2B2DBF"/>
    <w:rsid w:val="7A2D4EF1"/>
    <w:rsid w:val="7A2F441C"/>
    <w:rsid w:val="7A36798A"/>
    <w:rsid w:val="7A394711"/>
    <w:rsid w:val="7A474324"/>
    <w:rsid w:val="7A4F5F24"/>
    <w:rsid w:val="7A510F77"/>
    <w:rsid w:val="7A570088"/>
    <w:rsid w:val="7A5C2CEE"/>
    <w:rsid w:val="7A5E5944"/>
    <w:rsid w:val="7A605A43"/>
    <w:rsid w:val="7A634FA4"/>
    <w:rsid w:val="7A650884"/>
    <w:rsid w:val="7A673275"/>
    <w:rsid w:val="7A6C09E6"/>
    <w:rsid w:val="7A6E7AB9"/>
    <w:rsid w:val="7A715072"/>
    <w:rsid w:val="7A755777"/>
    <w:rsid w:val="7A797D94"/>
    <w:rsid w:val="7A7B5BE1"/>
    <w:rsid w:val="7A7C3741"/>
    <w:rsid w:val="7A831CEC"/>
    <w:rsid w:val="7A834BC7"/>
    <w:rsid w:val="7A8A4E3F"/>
    <w:rsid w:val="7A8C0248"/>
    <w:rsid w:val="7A8E1FA1"/>
    <w:rsid w:val="7A9D6146"/>
    <w:rsid w:val="7AA62D87"/>
    <w:rsid w:val="7AA85702"/>
    <w:rsid w:val="7AA86C7E"/>
    <w:rsid w:val="7AAC2999"/>
    <w:rsid w:val="7AB53EC4"/>
    <w:rsid w:val="7ACA01E0"/>
    <w:rsid w:val="7AD17248"/>
    <w:rsid w:val="7AD479BF"/>
    <w:rsid w:val="7AD6650C"/>
    <w:rsid w:val="7ADA2E21"/>
    <w:rsid w:val="7ADC2760"/>
    <w:rsid w:val="7ADF31E9"/>
    <w:rsid w:val="7AE248C7"/>
    <w:rsid w:val="7AE94E66"/>
    <w:rsid w:val="7AEA1292"/>
    <w:rsid w:val="7AEB1CA6"/>
    <w:rsid w:val="7AEF6DC5"/>
    <w:rsid w:val="7AF5069A"/>
    <w:rsid w:val="7AF73547"/>
    <w:rsid w:val="7AFD36FA"/>
    <w:rsid w:val="7B003629"/>
    <w:rsid w:val="7B0A4EB0"/>
    <w:rsid w:val="7B113011"/>
    <w:rsid w:val="7B161304"/>
    <w:rsid w:val="7B192CE5"/>
    <w:rsid w:val="7B24186A"/>
    <w:rsid w:val="7B2440AC"/>
    <w:rsid w:val="7B274EC5"/>
    <w:rsid w:val="7B275454"/>
    <w:rsid w:val="7B28589E"/>
    <w:rsid w:val="7B2D2CE9"/>
    <w:rsid w:val="7B2E11F0"/>
    <w:rsid w:val="7B365EB0"/>
    <w:rsid w:val="7B3A1D67"/>
    <w:rsid w:val="7B414758"/>
    <w:rsid w:val="7B434DA5"/>
    <w:rsid w:val="7B4B793B"/>
    <w:rsid w:val="7B4D710F"/>
    <w:rsid w:val="7B514730"/>
    <w:rsid w:val="7B581939"/>
    <w:rsid w:val="7B5C5177"/>
    <w:rsid w:val="7B5D2A2A"/>
    <w:rsid w:val="7B6573CC"/>
    <w:rsid w:val="7B6B2512"/>
    <w:rsid w:val="7B723679"/>
    <w:rsid w:val="7B7672B6"/>
    <w:rsid w:val="7B7962FC"/>
    <w:rsid w:val="7B7F5097"/>
    <w:rsid w:val="7B8B1398"/>
    <w:rsid w:val="7B8B1FB6"/>
    <w:rsid w:val="7B930181"/>
    <w:rsid w:val="7B9303C9"/>
    <w:rsid w:val="7B9F079C"/>
    <w:rsid w:val="7BA676A0"/>
    <w:rsid w:val="7BA84D3B"/>
    <w:rsid w:val="7BAA544C"/>
    <w:rsid w:val="7BAD29D3"/>
    <w:rsid w:val="7BB55AB8"/>
    <w:rsid w:val="7BBD063B"/>
    <w:rsid w:val="7BC10580"/>
    <w:rsid w:val="7BC16B5D"/>
    <w:rsid w:val="7BC17A62"/>
    <w:rsid w:val="7BC342C6"/>
    <w:rsid w:val="7BC56567"/>
    <w:rsid w:val="7BC66B45"/>
    <w:rsid w:val="7BC773A7"/>
    <w:rsid w:val="7BCF09AB"/>
    <w:rsid w:val="7BD36AA3"/>
    <w:rsid w:val="7BD5558A"/>
    <w:rsid w:val="7BDB62E3"/>
    <w:rsid w:val="7BDE20D3"/>
    <w:rsid w:val="7BE475EC"/>
    <w:rsid w:val="7BEE32DF"/>
    <w:rsid w:val="7BF02C26"/>
    <w:rsid w:val="7BF3DD30"/>
    <w:rsid w:val="7BF545DD"/>
    <w:rsid w:val="7BFD2217"/>
    <w:rsid w:val="7BFD7E77"/>
    <w:rsid w:val="7C063B79"/>
    <w:rsid w:val="7C06754F"/>
    <w:rsid w:val="7C081E29"/>
    <w:rsid w:val="7C0E3451"/>
    <w:rsid w:val="7C0F378C"/>
    <w:rsid w:val="7C134B8B"/>
    <w:rsid w:val="7C136C5E"/>
    <w:rsid w:val="7C144527"/>
    <w:rsid w:val="7C173A1C"/>
    <w:rsid w:val="7C1B6097"/>
    <w:rsid w:val="7C201FC3"/>
    <w:rsid w:val="7C231FE3"/>
    <w:rsid w:val="7C2940A3"/>
    <w:rsid w:val="7C2A61E5"/>
    <w:rsid w:val="7C2F1FD1"/>
    <w:rsid w:val="7C3021F4"/>
    <w:rsid w:val="7C332DC7"/>
    <w:rsid w:val="7C36407C"/>
    <w:rsid w:val="7C374D8F"/>
    <w:rsid w:val="7C3D4A1D"/>
    <w:rsid w:val="7C3E6E2B"/>
    <w:rsid w:val="7C421455"/>
    <w:rsid w:val="7C490A4F"/>
    <w:rsid w:val="7C4B7EC3"/>
    <w:rsid w:val="7C511A88"/>
    <w:rsid w:val="7C522335"/>
    <w:rsid w:val="7C532E05"/>
    <w:rsid w:val="7C544109"/>
    <w:rsid w:val="7C582B10"/>
    <w:rsid w:val="7C5B3ED6"/>
    <w:rsid w:val="7C5C7714"/>
    <w:rsid w:val="7C5F1E43"/>
    <w:rsid w:val="7C6D39AE"/>
    <w:rsid w:val="7C74025A"/>
    <w:rsid w:val="7C771E24"/>
    <w:rsid w:val="7C776805"/>
    <w:rsid w:val="7C7B58E0"/>
    <w:rsid w:val="7C827900"/>
    <w:rsid w:val="7C8D30A1"/>
    <w:rsid w:val="7C90484D"/>
    <w:rsid w:val="7C936E76"/>
    <w:rsid w:val="7C971344"/>
    <w:rsid w:val="7C9A2EB3"/>
    <w:rsid w:val="7CA1722F"/>
    <w:rsid w:val="7CAD0244"/>
    <w:rsid w:val="7CAE0846"/>
    <w:rsid w:val="7CB25F06"/>
    <w:rsid w:val="7CBC315D"/>
    <w:rsid w:val="7CC23623"/>
    <w:rsid w:val="7CC46414"/>
    <w:rsid w:val="7CCB7B1E"/>
    <w:rsid w:val="7CCD1CF8"/>
    <w:rsid w:val="7CD13198"/>
    <w:rsid w:val="7CD56C94"/>
    <w:rsid w:val="7CDA2B62"/>
    <w:rsid w:val="7CDF44A7"/>
    <w:rsid w:val="7CE16FFD"/>
    <w:rsid w:val="7CE47359"/>
    <w:rsid w:val="7CE56C28"/>
    <w:rsid w:val="7CEB76A6"/>
    <w:rsid w:val="7CEE5D27"/>
    <w:rsid w:val="7CEF1E49"/>
    <w:rsid w:val="7CF3492A"/>
    <w:rsid w:val="7CF64015"/>
    <w:rsid w:val="7CF74181"/>
    <w:rsid w:val="7CF96AA9"/>
    <w:rsid w:val="7CFB4765"/>
    <w:rsid w:val="7CFE3C5D"/>
    <w:rsid w:val="7D066E2B"/>
    <w:rsid w:val="7D073D30"/>
    <w:rsid w:val="7D0D3A65"/>
    <w:rsid w:val="7D13497A"/>
    <w:rsid w:val="7D17032D"/>
    <w:rsid w:val="7D19317C"/>
    <w:rsid w:val="7D193F84"/>
    <w:rsid w:val="7D1C7103"/>
    <w:rsid w:val="7D2519EE"/>
    <w:rsid w:val="7D2853EF"/>
    <w:rsid w:val="7D285ECC"/>
    <w:rsid w:val="7D2A54A9"/>
    <w:rsid w:val="7D2D37DE"/>
    <w:rsid w:val="7D4029C1"/>
    <w:rsid w:val="7D405884"/>
    <w:rsid w:val="7D4A4DF6"/>
    <w:rsid w:val="7D5B4EF8"/>
    <w:rsid w:val="7D5C4BC0"/>
    <w:rsid w:val="7D5D7600"/>
    <w:rsid w:val="7D653F46"/>
    <w:rsid w:val="7D682911"/>
    <w:rsid w:val="7D705D22"/>
    <w:rsid w:val="7D753454"/>
    <w:rsid w:val="7D7778A7"/>
    <w:rsid w:val="7D7B1000"/>
    <w:rsid w:val="7D8074E5"/>
    <w:rsid w:val="7D864C5D"/>
    <w:rsid w:val="7D87433B"/>
    <w:rsid w:val="7D874FAC"/>
    <w:rsid w:val="7D875C1D"/>
    <w:rsid w:val="7D8F6A7C"/>
    <w:rsid w:val="7D94257B"/>
    <w:rsid w:val="7D947117"/>
    <w:rsid w:val="7D9C4806"/>
    <w:rsid w:val="7DA21C12"/>
    <w:rsid w:val="7DA41F64"/>
    <w:rsid w:val="7DB80455"/>
    <w:rsid w:val="7DBC48F3"/>
    <w:rsid w:val="7DC002DC"/>
    <w:rsid w:val="7DC464BE"/>
    <w:rsid w:val="7DC762DE"/>
    <w:rsid w:val="7DCD69EF"/>
    <w:rsid w:val="7DD01FA8"/>
    <w:rsid w:val="7DD64EDF"/>
    <w:rsid w:val="7DDB1E11"/>
    <w:rsid w:val="7DE27E6F"/>
    <w:rsid w:val="7DE316E5"/>
    <w:rsid w:val="7DE44E91"/>
    <w:rsid w:val="7DE46910"/>
    <w:rsid w:val="7DE9756F"/>
    <w:rsid w:val="7DF42531"/>
    <w:rsid w:val="7DF61D8E"/>
    <w:rsid w:val="7DF866F7"/>
    <w:rsid w:val="7DFA7CBD"/>
    <w:rsid w:val="7E063828"/>
    <w:rsid w:val="7E122596"/>
    <w:rsid w:val="7E17424F"/>
    <w:rsid w:val="7E1A53DC"/>
    <w:rsid w:val="7E1C408B"/>
    <w:rsid w:val="7E231B4A"/>
    <w:rsid w:val="7E251404"/>
    <w:rsid w:val="7E2565BB"/>
    <w:rsid w:val="7E291631"/>
    <w:rsid w:val="7E2D1548"/>
    <w:rsid w:val="7E375F81"/>
    <w:rsid w:val="7E411684"/>
    <w:rsid w:val="7E422917"/>
    <w:rsid w:val="7E427BB8"/>
    <w:rsid w:val="7E5D0B23"/>
    <w:rsid w:val="7E5D621F"/>
    <w:rsid w:val="7E751806"/>
    <w:rsid w:val="7E795210"/>
    <w:rsid w:val="7E8E7305"/>
    <w:rsid w:val="7E930454"/>
    <w:rsid w:val="7E936587"/>
    <w:rsid w:val="7EA341E3"/>
    <w:rsid w:val="7EA35D9F"/>
    <w:rsid w:val="7EA6332F"/>
    <w:rsid w:val="7EAD1DDF"/>
    <w:rsid w:val="7EAE4A89"/>
    <w:rsid w:val="7EAF11ED"/>
    <w:rsid w:val="7EB476C7"/>
    <w:rsid w:val="7EB878DF"/>
    <w:rsid w:val="7EBE449B"/>
    <w:rsid w:val="7ECC1C6F"/>
    <w:rsid w:val="7ED13956"/>
    <w:rsid w:val="7EE40A70"/>
    <w:rsid w:val="7EE70987"/>
    <w:rsid w:val="7EE954AA"/>
    <w:rsid w:val="7EF44FD2"/>
    <w:rsid w:val="7EF54E61"/>
    <w:rsid w:val="7EFF2348"/>
    <w:rsid w:val="7F0079D5"/>
    <w:rsid w:val="7F0625BC"/>
    <w:rsid w:val="7F0768D2"/>
    <w:rsid w:val="7F1077B2"/>
    <w:rsid w:val="7F16050C"/>
    <w:rsid w:val="7F1B7D95"/>
    <w:rsid w:val="7F1C2B23"/>
    <w:rsid w:val="7F210A97"/>
    <w:rsid w:val="7F2429E5"/>
    <w:rsid w:val="7F2602B7"/>
    <w:rsid w:val="7F2C1A37"/>
    <w:rsid w:val="7F2D4B58"/>
    <w:rsid w:val="7F34131D"/>
    <w:rsid w:val="7F356936"/>
    <w:rsid w:val="7F403E0B"/>
    <w:rsid w:val="7F457D7A"/>
    <w:rsid w:val="7F474FFD"/>
    <w:rsid w:val="7F514F85"/>
    <w:rsid w:val="7F654BE7"/>
    <w:rsid w:val="7F655DA2"/>
    <w:rsid w:val="7F695915"/>
    <w:rsid w:val="7F6F3457"/>
    <w:rsid w:val="7F7A786E"/>
    <w:rsid w:val="7F7E7102"/>
    <w:rsid w:val="7F846FC1"/>
    <w:rsid w:val="7F847495"/>
    <w:rsid w:val="7F8A242E"/>
    <w:rsid w:val="7F9B154E"/>
    <w:rsid w:val="7FA05E13"/>
    <w:rsid w:val="7FA5312A"/>
    <w:rsid w:val="7FA5481A"/>
    <w:rsid w:val="7FA85237"/>
    <w:rsid w:val="7FAC5BCE"/>
    <w:rsid w:val="7FB04E02"/>
    <w:rsid w:val="7FBC7F09"/>
    <w:rsid w:val="7FC236A8"/>
    <w:rsid w:val="7FC427C1"/>
    <w:rsid w:val="7FCB23B1"/>
    <w:rsid w:val="7FCE44E1"/>
    <w:rsid w:val="7FDC0304"/>
    <w:rsid w:val="7FDD6D2C"/>
    <w:rsid w:val="7FE012CE"/>
    <w:rsid w:val="7FEE4831"/>
    <w:rsid w:val="BFE4D591"/>
    <w:rsid w:val="ED8FB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宋体" w:hAnsi="Courier New"/>
      <w:b/>
      <w:bCs/>
      <w:kern w:val="44"/>
      <w:sz w:val="44"/>
      <w:szCs w:val="44"/>
    </w:rPr>
  </w:style>
  <w:style w:type="paragraph" w:styleId="4">
    <w:name w:val="heading 2"/>
    <w:basedOn w:val="1"/>
    <w:next w:val="5"/>
    <w:qFormat/>
    <w:uiPriority w:val="0"/>
    <w:pPr>
      <w:keepNext/>
      <w:spacing w:line="720" w:lineRule="exact"/>
      <w:outlineLvl w:val="1"/>
    </w:pPr>
    <w:rPr>
      <w:rFonts w:ascii="黑体" w:hAnsi="Copperplate Gothic Bold" w:eastAsia="楷体_GB2312"/>
      <w:sz w:val="28"/>
    </w:rPr>
  </w:style>
  <w:style w:type="paragraph" w:styleId="6">
    <w:name w:val="heading 3"/>
    <w:basedOn w:val="1"/>
    <w:next w:val="1"/>
    <w:qFormat/>
    <w:uiPriority w:val="9"/>
    <w:pPr>
      <w:keepNext/>
      <w:keepLines/>
      <w:spacing w:before="260" w:after="260" w:line="416" w:lineRule="auto"/>
      <w:outlineLvl w:val="2"/>
    </w:pPr>
    <w:rPr>
      <w:b/>
      <w:bCs/>
      <w:szCs w:val="32"/>
    </w:rPr>
  </w:style>
  <w:style w:type="paragraph" w:styleId="7">
    <w:name w:val="heading 4"/>
    <w:basedOn w:val="1"/>
    <w:next w:val="1"/>
    <w:qFormat/>
    <w:uiPriority w:val="0"/>
    <w:pPr>
      <w:keepNext/>
      <w:keepLines/>
      <w:spacing w:line="360" w:lineRule="auto"/>
      <w:outlineLvl w:val="3"/>
    </w:pPr>
    <w:rPr>
      <w:rFonts w:ascii="Arial" w:hAnsi="Arial" w:eastAsia="宋体"/>
      <w:b/>
      <w:bCs/>
      <w:sz w:val="21"/>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Indent"/>
    <w:basedOn w:val="1"/>
    <w:qFormat/>
    <w:uiPriority w:val="0"/>
    <w:pPr>
      <w:ind w:firstLine="420"/>
    </w:pPr>
  </w:style>
  <w:style w:type="paragraph" w:styleId="8">
    <w:name w:val="List 3"/>
    <w:basedOn w:val="1"/>
    <w:unhideWhenUsed/>
    <w:qFormat/>
    <w:uiPriority w:val="99"/>
    <w:pPr>
      <w:ind w:left="100" w:leftChars="400" w:hanging="200" w:hangingChars="200"/>
    </w:pPr>
  </w:style>
  <w:style w:type="paragraph" w:styleId="9">
    <w:name w:val="annotation text"/>
    <w:basedOn w:val="1"/>
    <w:unhideWhenUsed/>
    <w:qFormat/>
    <w:uiPriority w:val="99"/>
    <w:pPr>
      <w:jc w:val="left"/>
    </w:pPr>
  </w:style>
  <w:style w:type="paragraph" w:styleId="10">
    <w:name w:val="Body Text 3"/>
    <w:basedOn w:val="1"/>
    <w:unhideWhenUsed/>
    <w:qFormat/>
    <w:uiPriority w:val="99"/>
    <w:pPr>
      <w:spacing w:after="120"/>
    </w:pPr>
    <w:rPr>
      <w:sz w:val="16"/>
      <w:szCs w:val="16"/>
    </w:rPr>
  </w:style>
  <w:style w:type="paragraph" w:styleId="11">
    <w:name w:val="Body Text"/>
    <w:basedOn w:val="1"/>
    <w:next w:val="1"/>
    <w:qFormat/>
    <w:uiPriority w:val="0"/>
    <w:pPr>
      <w:jc w:val="left"/>
    </w:pPr>
    <w:rPr>
      <w:rFonts w:ascii="Copperplate Gothic Bold" w:hAnsi="Copperplate Gothic Bold"/>
      <w:sz w:val="28"/>
    </w:rPr>
  </w:style>
  <w:style w:type="paragraph" w:styleId="12">
    <w:name w:val="Body Text Indent"/>
    <w:basedOn w:val="1"/>
    <w:qFormat/>
    <w:uiPriority w:val="0"/>
    <w:pPr>
      <w:ind w:firstLine="560" w:firstLineChars="200"/>
    </w:pPr>
  </w:style>
  <w:style w:type="paragraph" w:styleId="13">
    <w:name w:val="Plain Text"/>
    <w:basedOn w:val="1"/>
    <w:link w:val="38"/>
    <w:unhideWhenUsed/>
    <w:qFormat/>
    <w:uiPriority w:val="0"/>
    <w:rPr>
      <w:rFonts w:ascii="宋体" w:hAnsi="Courier New"/>
      <w:szCs w:val="21"/>
    </w:rPr>
  </w:style>
  <w:style w:type="paragraph" w:styleId="14">
    <w:name w:val="Body Text Indent 2"/>
    <w:basedOn w:val="1"/>
    <w:qFormat/>
    <w:uiPriority w:val="0"/>
    <w:pPr>
      <w:spacing w:line="500" w:lineRule="exact"/>
      <w:ind w:firstLine="540" w:firstLineChars="200"/>
    </w:pPr>
    <w:rPr>
      <w:rFonts w:ascii="宋体" w:hAnsi="宋体"/>
      <w:sz w:val="27"/>
      <w:szCs w:val="27"/>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unhideWhenUsed/>
    <w:qFormat/>
    <w:uiPriority w:val="39"/>
    <w:pPr>
      <w:adjustRightInd w:val="0"/>
      <w:spacing w:before="120" w:after="120" w:line="360" w:lineRule="auto"/>
      <w:ind w:firstLine="425"/>
      <w:jc w:val="left"/>
      <w:textAlignment w:val="baseline"/>
    </w:pPr>
    <w:rPr>
      <w:b/>
      <w:caps/>
      <w:sz w:val="20"/>
      <w:szCs w:val="20"/>
    </w:rPr>
  </w:style>
  <w:style w:type="paragraph" w:styleId="17">
    <w:name w:val="footnote text"/>
    <w:basedOn w:val="1"/>
    <w:unhideWhenUsed/>
    <w:qFormat/>
    <w:uiPriority w:val="99"/>
    <w:pPr>
      <w:snapToGrid w:val="0"/>
      <w:jc w:val="left"/>
    </w:pPr>
    <w:rPr>
      <w:sz w:val="18"/>
      <w:szCs w:val="18"/>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12"/>
    <w:qFormat/>
    <w:uiPriority w:val="0"/>
    <w:pPr>
      <w:ind w:firstLine="420"/>
    </w:p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unhideWhenUsed/>
    <w:qFormat/>
    <w:uiPriority w:val="99"/>
  </w:style>
  <w:style w:type="character" w:styleId="25">
    <w:name w:val="FollowedHyperlink"/>
    <w:unhideWhenUsed/>
    <w:qFormat/>
    <w:uiPriority w:val="99"/>
    <w:rPr>
      <w:color w:val="333333"/>
      <w:u w:val="none"/>
    </w:rPr>
  </w:style>
  <w:style w:type="character" w:styleId="26">
    <w:name w:val="Emphasis"/>
    <w:qFormat/>
    <w:uiPriority w:val="20"/>
  </w:style>
  <w:style w:type="character" w:styleId="27">
    <w:name w:val="HTML Definition"/>
    <w:unhideWhenUsed/>
    <w:qFormat/>
    <w:uiPriority w:val="99"/>
  </w:style>
  <w:style w:type="character" w:styleId="28">
    <w:name w:val="HTML Typewriter"/>
    <w:basedOn w:val="22"/>
    <w:unhideWhenUsed/>
    <w:qFormat/>
    <w:uiPriority w:val="99"/>
    <w:rPr>
      <w:rFonts w:hint="default" w:ascii="monospace" w:hAnsi="monospace" w:eastAsia="monospace" w:cs="monospace"/>
      <w:sz w:val="20"/>
    </w:rPr>
  </w:style>
  <w:style w:type="character" w:styleId="29">
    <w:name w:val="HTML Acronym"/>
    <w:basedOn w:val="22"/>
    <w:unhideWhenUsed/>
    <w:qFormat/>
    <w:uiPriority w:val="99"/>
  </w:style>
  <w:style w:type="character" w:styleId="30">
    <w:name w:val="HTML Variable"/>
    <w:unhideWhenUsed/>
    <w:qFormat/>
    <w:uiPriority w:val="99"/>
  </w:style>
  <w:style w:type="character" w:styleId="31">
    <w:name w:val="Hyperlink"/>
    <w:basedOn w:val="22"/>
    <w:unhideWhenUsed/>
    <w:qFormat/>
    <w:uiPriority w:val="99"/>
    <w:rPr>
      <w:color w:val="000000"/>
      <w:u w:val="none"/>
    </w:rPr>
  </w:style>
  <w:style w:type="character" w:styleId="32">
    <w:name w:val="HTML Code"/>
    <w:unhideWhenUsed/>
    <w:qFormat/>
    <w:uiPriority w:val="99"/>
    <w:rPr>
      <w:rFonts w:ascii="Courier New" w:hAnsi="Courier New"/>
      <w:sz w:val="20"/>
    </w:rPr>
  </w:style>
  <w:style w:type="character" w:styleId="33">
    <w:name w:val="HTML Cite"/>
    <w:unhideWhenUsed/>
    <w:qFormat/>
    <w:uiPriority w:val="99"/>
  </w:style>
  <w:style w:type="character" w:styleId="34">
    <w:name w:val="footnote reference"/>
    <w:unhideWhenUsed/>
    <w:qFormat/>
    <w:uiPriority w:val="99"/>
    <w:rPr>
      <w:vertAlign w:val="superscript"/>
    </w:rPr>
  </w:style>
  <w:style w:type="character" w:styleId="35">
    <w:name w:val="HTML Keyboard"/>
    <w:basedOn w:val="22"/>
    <w:unhideWhenUsed/>
    <w:qFormat/>
    <w:uiPriority w:val="99"/>
    <w:rPr>
      <w:rFonts w:hint="default" w:ascii="Consolas" w:hAnsi="Consolas" w:eastAsia="Consolas" w:cs="Consolas"/>
      <w:color w:val="FFFFFF"/>
      <w:sz w:val="21"/>
      <w:szCs w:val="21"/>
      <w:shd w:val="clear" w:color="auto" w:fill="333333"/>
    </w:rPr>
  </w:style>
  <w:style w:type="character" w:styleId="36">
    <w:name w:val="HTML Sample"/>
    <w:basedOn w:val="22"/>
    <w:unhideWhenUsed/>
    <w:qFormat/>
    <w:uiPriority w:val="99"/>
    <w:rPr>
      <w:rFonts w:hint="default" w:ascii="Consolas" w:hAnsi="Consolas" w:eastAsia="Consolas" w:cs="Consolas"/>
      <w:sz w:val="21"/>
      <w:szCs w:val="21"/>
    </w:rPr>
  </w:style>
  <w:style w:type="paragraph" w:customStyle="1" w:styleId="37">
    <w:name w:val="Char"/>
    <w:basedOn w:val="1"/>
    <w:qFormat/>
    <w:uiPriority w:val="0"/>
  </w:style>
  <w:style w:type="character" w:customStyle="1" w:styleId="38">
    <w:name w:val="纯文本 Char"/>
    <w:link w:val="13"/>
    <w:qFormat/>
    <w:uiPriority w:val="0"/>
    <w:rPr>
      <w:rFonts w:ascii="宋体" w:hAnsi="Courier New" w:eastAsia="仿宋_GB2312" w:cs="Courier New"/>
      <w:kern w:val="2"/>
      <w:sz w:val="32"/>
      <w:szCs w:val="21"/>
    </w:rPr>
  </w:style>
  <w:style w:type="character" w:customStyle="1" w:styleId="39">
    <w:name w:val="glyphicon4"/>
    <w:basedOn w:val="22"/>
    <w:qFormat/>
    <w:uiPriority w:val="0"/>
  </w:style>
  <w:style w:type="character" w:customStyle="1" w:styleId="40">
    <w:name w:val="font61"/>
    <w:qFormat/>
    <w:uiPriority w:val="0"/>
    <w:rPr>
      <w:rFonts w:hint="eastAsia" w:ascii="仿宋" w:hAnsi="仿宋" w:eastAsia="仿宋" w:cs="仿宋"/>
      <w:color w:val="000000"/>
      <w:sz w:val="16"/>
      <w:szCs w:val="16"/>
      <w:u w:val="none"/>
    </w:rPr>
  </w:style>
  <w:style w:type="character" w:customStyle="1" w:styleId="41">
    <w:name w:val="hover16"/>
    <w:qFormat/>
    <w:uiPriority w:val="0"/>
    <w:rPr>
      <w:color w:val="ECEBEB"/>
    </w:rPr>
  </w:style>
  <w:style w:type="character" w:customStyle="1" w:styleId="42">
    <w:name w:val="indent"/>
    <w:basedOn w:val="22"/>
    <w:qFormat/>
    <w:uiPriority w:val="0"/>
  </w:style>
  <w:style w:type="character" w:customStyle="1" w:styleId="43">
    <w:name w:val="button"/>
    <w:basedOn w:val="22"/>
    <w:qFormat/>
    <w:uiPriority w:val="0"/>
  </w:style>
  <w:style w:type="character" w:customStyle="1" w:styleId="44">
    <w:name w:val="hour_pm"/>
    <w:basedOn w:val="22"/>
    <w:qFormat/>
    <w:uiPriority w:val="0"/>
  </w:style>
  <w:style w:type="character" w:customStyle="1" w:styleId="45">
    <w:name w:val="on"/>
    <w:basedOn w:val="22"/>
    <w:qFormat/>
    <w:uiPriority w:val="0"/>
  </w:style>
  <w:style w:type="character" w:customStyle="1" w:styleId="46">
    <w:name w:val="font101"/>
    <w:qFormat/>
    <w:uiPriority w:val="0"/>
    <w:rPr>
      <w:rFonts w:hint="eastAsia" w:ascii="宋体" w:hAnsi="宋体" w:eastAsia="宋体" w:cs="宋体"/>
      <w:color w:val="000000"/>
      <w:sz w:val="16"/>
      <w:szCs w:val="16"/>
      <w:u w:val="none"/>
    </w:rPr>
  </w:style>
  <w:style w:type="character" w:customStyle="1" w:styleId="47">
    <w:name w:val="tmpztreemove_arrow"/>
    <w:basedOn w:val="22"/>
    <w:qFormat/>
    <w:uiPriority w:val="0"/>
    <w:rPr>
      <w:shd w:val="clear" w:color="auto" w:fill="FFFFFF"/>
    </w:rPr>
  </w:style>
  <w:style w:type="character" w:customStyle="1" w:styleId="48">
    <w:name w:val="hover3"/>
    <w:basedOn w:val="22"/>
    <w:qFormat/>
    <w:uiPriority w:val="0"/>
    <w:rPr>
      <w:shd w:val="clear" w:color="auto" w:fill="EEEEEE"/>
    </w:rPr>
  </w:style>
  <w:style w:type="character" w:customStyle="1" w:styleId="49">
    <w:name w:val="font11"/>
    <w:qFormat/>
    <w:uiPriority w:val="0"/>
    <w:rPr>
      <w:rFonts w:hint="eastAsia" w:ascii="宋体" w:hAnsi="宋体" w:eastAsia="宋体" w:cs="宋体"/>
      <w:color w:val="000000"/>
      <w:sz w:val="24"/>
      <w:szCs w:val="24"/>
      <w:u w:val="none"/>
    </w:rPr>
  </w:style>
  <w:style w:type="character" w:customStyle="1" w:styleId="50">
    <w:name w:val="hour_am"/>
    <w:basedOn w:val="22"/>
    <w:qFormat/>
    <w:uiPriority w:val="0"/>
  </w:style>
  <w:style w:type="character" w:customStyle="1" w:styleId="51">
    <w:name w:val="font41"/>
    <w:qFormat/>
    <w:uiPriority w:val="0"/>
    <w:rPr>
      <w:rFonts w:hint="eastAsia" w:ascii="仿宋" w:hAnsi="仿宋" w:eastAsia="仿宋" w:cs="仿宋"/>
      <w:b/>
      <w:color w:val="000000"/>
      <w:sz w:val="16"/>
      <w:szCs w:val="16"/>
      <w:u w:val="none"/>
    </w:rPr>
  </w:style>
  <w:style w:type="character" w:customStyle="1" w:styleId="52">
    <w:name w:val="old"/>
    <w:basedOn w:val="22"/>
    <w:qFormat/>
    <w:uiPriority w:val="0"/>
    <w:rPr>
      <w:color w:val="999999"/>
    </w:rPr>
  </w:style>
  <w:style w:type="paragraph" w:customStyle="1" w:styleId="53">
    <w:name w:val="TOC 标题1"/>
    <w:basedOn w:val="3"/>
    <w:next w:val="1"/>
    <w:qFormat/>
    <w:uiPriority w:val="99"/>
    <w:pPr>
      <w:spacing w:before="480" w:after="0" w:line="276" w:lineRule="auto"/>
      <w:outlineLvl w:val="9"/>
    </w:pPr>
    <w:rPr>
      <w:rFonts w:ascii="仿宋" w:hAnsi="仿宋" w:eastAsia="仿宋"/>
      <w:color w:val="000000"/>
      <w:kern w:val="0"/>
      <w:szCs w:val="32"/>
    </w:rPr>
  </w:style>
  <w:style w:type="paragraph" w:customStyle="1" w:styleId="5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5">
    <w:name w:val="标题2"/>
    <w:basedOn w:val="1"/>
    <w:qFormat/>
    <w:uiPriority w:val="0"/>
    <w:pPr>
      <w:spacing w:afterLines="50"/>
      <w:ind w:firstLine="196" w:firstLineChars="196"/>
    </w:pPr>
    <w:rPr>
      <w:rFonts w:ascii="黑体" w:eastAsia="黑体"/>
      <w:sz w:val="28"/>
      <w:szCs w:val="28"/>
    </w:rPr>
  </w:style>
  <w:style w:type="paragraph" w:customStyle="1" w:styleId="56">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正文格式"/>
    <w:basedOn w:val="1"/>
    <w:qFormat/>
    <w:uiPriority w:val="0"/>
    <w:pPr>
      <w:spacing w:line="360" w:lineRule="auto"/>
      <w:ind w:firstLine="482"/>
    </w:pPr>
    <w:rPr>
      <w:rFonts w:ascii="宋体" w:hAnsi="宋体"/>
      <w:kern w:val="0"/>
      <w:sz w:val="24"/>
      <w:lang w:val="zh-CN"/>
    </w:rPr>
  </w:style>
  <w:style w:type="paragraph" w:customStyle="1" w:styleId="59">
    <w:name w:val="表格文字中"/>
    <w:basedOn w:val="1"/>
    <w:qFormat/>
    <w:uiPriority w:val="0"/>
    <w:pPr>
      <w:adjustRightInd w:val="0"/>
      <w:snapToGrid w:val="0"/>
      <w:ind w:left="22" w:leftChars="8"/>
      <w:jc w:val="center"/>
    </w:pPr>
    <w:rPr>
      <w:kern w:val="0"/>
    </w:rPr>
  </w:style>
  <w:style w:type="paragraph" w:styleId="60">
    <w:name w:val="List Paragraph"/>
    <w:basedOn w:val="1"/>
    <w:qFormat/>
    <w:uiPriority w:val="34"/>
    <w:pPr>
      <w:ind w:firstLine="420" w:firstLineChars="200"/>
    </w:pPr>
  </w:style>
  <w:style w:type="paragraph" w:customStyle="1" w:styleId="61">
    <w:name w:val="title1"/>
    <w:basedOn w:val="1"/>
    <w:qFormat/>
    <w:uiPriority w:val="0"/>
    <w:pPr>
      <w:spacing w:before="150" w:line="450" w:lineRule="atLeast"/>
      <w:jc w:val="left"/>
    </w:pPr>
    <w:rPr>
      <w:b/>
      <w:kern w:val="0"/>
      <w:sz w:val="24"/>
    </w:rPr>
  </w:style>
  <w:style w:type="character" w:customStyle="1" w:styleId="62">
    <w:name w:val="mini-outputtext1"/>
    <w:basedOn w:val="22"/>
    <w:qFormat/>
    <w:uiPriority w:val="0"/>
  </w:style>
  <w:style w:type="character" w:customStyle="1" w:styleId="63">
    <w:name w:val="font161"/>
    <w:qFormat/>
    <w:uiPriority w:val="0"/>
    <w:rPr>
      <w:b/>
      <w:bCs/>
      <w:sz w:val="32"/>
      <w:szCs w:val="32"/>
    </w:rPr>
  </w:style>
  <w:style w:type="paragraph" w:customStyle="1" w:styleId="64">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21210</Words>
  <Characters>23037</Characters>
  <Lines>21</Lines>
  <Paragraphs>6</Paragraphs>
  <TotalTime>0</TotalTime>
  <ScaleCrop>false</ScaleCrop>
  <LinksUpToDate>false</LinksUpToDate>
  <CharactersWithSpaces>23513</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2021-07-30T02:28:00Z</dcterms:created>
  <dc:creator>白剑锋</dc:creator>
  <cp:lastModifiedBy>guest</cp:lastModifiedBy>
  <cp:lastPrinted>2021-07-27T01:15:00Z</cp:lastPrinted>
  <dcterms:modified xsi:type="dcterms:W3CDTF">2024-04-17T17:32:49Z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D2A5667337CC57E141971F66DD7E823A</vt:lpwstr>
  </property>
</Properties>
</file>