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before="120" w:beforeLines="50" w:line="400" w:lineRule="exact"/>
        <w:jc w:val="center"/>
        <w:rPr>
          <w:rFonts w:hint="default" w:ascii="Times New Roman" w:hAnsi="Times New Roman" w:eastAsia="黑体" w:cs="Times New Roman"/>
          <w:sz w:val="28"/>
          <w:szCs w:val="28"/>
          <w:highlight w:val="none"/>
          <w:lang w:eastAsia="zh-CN"/>
        </w:rPr>
      </w:pPr>
      <w:r>
        <w:rPr>
          <w:rFonts w:hint="default" w:ascii="Times New Roman" w:hAnsi="Times New Roman" w:eastAsia="黑体" w:cs="Times New Roman"/>
          <w:sz w:val="28"/>
          <w:szCs w:val="28"/>
          <w:highlight w:val="none"/>
          <w:lang w:eastAsia="zh-CN"/>
        </w:rPr>
        <w:t>安康市G211火石沟桥等6座桥梁预防性养护工程施工招标</w:t>
      </w:r>
    </w:p>
    <w:p>
      <w:pPr>
        <w:shd w:val="clear"/>
        <w:spacing w:before="120" w:beforeLines="50" w:line="400" w:lineRule="exact"/>
        <w:jc w:val="center"/>
        <w:rPr>
          <w:rFonts w:hint="default" w:ascii="Times New Roman" w:hAnsi="Times New Roman" w:eastAsia="黑体" w:cs="Times New Roman"/>
          <w:sz w:val="28"/>
          <w:szCs w:val="28"/>
          <w:highlight w:val="none"/>
          <w:lang w:eastAsia="zh-CN"/>
        </w:rPr>
      </w:pPr>
      <w:r>
        <w:rPr>
          <w:rFonts w:hint="default" w:ascii="Times New Roman" w:hAnsi="Times New Roman" w:eastAsia="黑体" w:cs="Times New Roman"/>
          <w:sz w:val="28"/>
          <w:szCs w:val="28"/>
          <w:highlight w:val="none"/>
          <w:lang w:eastAsia="zh-CN"/>
        </w:rPr>
        <w:t>关键内容</w:t>
      </w:r>
    </w:p>
    <w:p>
      <w:pPr>
        <w:shd w:val="clear"/>
        <w:spacing w:line="360" w:lineRule="auto"/>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lang w:val="en-US" w:eastAsia="zh-CN"/>
        </w:rPr>
        <w:t>1.招标条件</w:t>
      </w:r>
    </w:p>
    <w:p>
      <w:pPr>
        <w:shd w:val="clea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安康市G211火石沟桥等6座桥梁预防性养护工程（以下简称“本项目”）施工图设计及预算已由陕西省公路局以《陕西省公路局关于安康市G211火石沟桥等6座桥梁预防性养护工程施工图设计及预算的批复》（陕公路函〔2023〕129号）文件批准，招标人为安康市公路局，建设资金来自财政，招标代理为华杰工程咨询有限公司，该项目现已具备招标条件，现对该项目的施工进行公开招标。</w:t>
      </w:r>
      <w:bookmarkStart w:id="0" w:name="_Toc29258"/>
      <w:bookmarkStart w:id="1" w:name="_Toc13865"/>
      <w:bookmarkStart w:id="2" w:name="_Toc470760974"/>
      <w:bookmarkStart w:id="3" w:name="_Toc4375"/>
      <w:bookmarkStart w:id="4" w:name="_Toc20347"/>
      <w:bookmarkStart w:id="5" w:name="_Toc501257034"/>
    </w:p>
    <w:p>
      <w:pPr>
        <w:shd w:val="clear"/>
        <w:spacing w:line="360" w:lineRule="auto"/>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lang w:val="en-US" w:eastAsia="zh-CN"/>
        </w:rPr>
        <w:t>2.项目概况与招标范围</w:t>
      </w:r>
      <w:bookmarkEnd w:id="0"/>
      <w:bookmarkEnd w:id="1"/>
      <w:bookmarkEnd w:id="2"/>
      <w:bookmarkEnd w:id="3"/>
      <w:bookmarkEnd w:id="4"/>
      <w:bookmarkEnd w:id="5"/>
    </w:p>
    <w:p>
      <w:pPr>
        <w:shd w:val="clea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2.1 建设地点：陕西省安康市</w:t>
      </w:r>
    </w:p>
    <w:p>
      <w:pPr>
        <w:shd w:val="clea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2.2. 工程规模：安康市G211火石沟桥等6座桥梁预防性养护工程施工项目包括火石沟桥、罗家沟桥、竹溪河桥、桑树沟任河大桥、向阳立交桥、太月河桥，具体项目概况如下：</w:t>
      </w:r>
    </w:p>
    <w:p>
      <w:pPr>
        <w:shd w:val="clear"/>
        <w:spacing w:line="360" w:lineRule="auto"/>
        <w:ind w:firstLine="480" w:firstLineChars="200"/>
        <w:rPr>
          <w:rFonts w:hint="default" w:ascii="Times New Roman" w:hAnsi="Times New Roman" w:eastAsia="宋体" w:cs="Times New Roman"/>
          <w:sz w:val="24"/>
          <w:highlight w:val="none"/>
          <w:lang w:eastAsia="zh-CN"/>
        </w:rPr>
      </w:pPr>
      <w:r>
        <w:rPr>
          <w:rFonts w:hint="default" w:ascii="Times New Roman" w:hAnsi="Times New Roman" w:cs="Times New Roman"/>
          <w:sz w:val="24"/>
          <w:highlight w:val="none"/>
        </w:rPr>
        <w:t>火石沟桥位于G211汉滨区境内，中心桩号为K1060+453，所处路线技术等级为二级公路，于1982年建成通车，设计行车速度60km/h，桥梁全长49.0m，上部结构采用1×30m双曲拱桥，桥宽9m=8.5m+2×0.25m栏杆，荷载等级为公路-I级；罗家沟桥位于G211汉滨区境内，中心桩号为K1062+143，所处路线技术等级为二级公路，于2012年建成通车，设计行车速度60km/h，桥梁全长46.0m,上部结构为1×30m板拱桥，桥宽12m=11m+2×0.5m栏杆，荷载等级为公路-I级。竹溪河桥位于G541镇坪县境内，中心桩号为K282+400，所处路线技术等级为三级公路，于1970年建成通车，设计行车速度30km/h，桥梁全长46.0m，上部结构为1×30m石拱桥，桥宽8m=7.5m+2×0.25m栏杆，荷载等级为汽车-20级。桑树沟任河大桥位于S211紫阳县境内，中心桩号为K125+192,所处路线等级为三级公路，于1989年建成通车，设计行车速度30km/h，桥梁全长204m，上部结构为1×30m(小箱梁)+4×40m(T梁)，桥宽9m=6.7m+(0.25m外侧栏杆+0.6m人行道+0.3m内侧环波形护栏)×2，荷载等级为汽车-20级；向阳立交桥位于S211紫阳县境内，中心桩号为K130+582，上跨襄渝铁路，路线等级为三级公路，于2011年建成通车，设计行车速度30km/h，桥梁全长196m，上部结构为1-40+7×20m梁桥，桥宽9.8～11.6m=7.7～9.5m+(0.2m外侧栏杆+0.55～0.65m人行道+0.3m内侧环波形梁护栏)×2，荷载等级为公路-Ⅱ级。太月河桥位于S211紫阳县境内，中心桩号为K131+362，所处路线等级为三级公路，于1988年建成通车，设计行车速度30km/h，桥梁全长136m，上部结构为55×20+13m钢筋砼梁，桥宽10m=7.7m+(0.25m外侧栏杆+0.6m人行道+0.3m内侧环波形梁护栏)×2，荷载等级为汽车-20级。</w:t>
      </w:r>
    </w:p>
    <w:p>
      <w:pPr>
        <w:shd w:val="clea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2.3 项目投资总额：</w:t>
      </w:r>
      <w:r>
        <w:rPr>
          <w:rFonts w:hint="eastAsia" w:ascii="Times New Roman" w:hAnsi="Times New Roman" w:cs="Times New Roman"/>
          <w:sz w:val="24"/>
          <w:highlight w:val="none"/>
          <w:lang w:val="en-US" w:eastAsia="zh-CN"/>
        </w:rPr>
        <w:t>3770000</w:t>
      </w:r>
      <w:r>
        <w:rPr>
          <w:rFonts w:hint="default" w:ascii="Times New Roman" w:hAnsi="Times New Roman" w:cs="Times New Roman"/>
          <w:sz w:val="24"/>
          <w:highlight w:val="none"/>
        </w:rPr>
        <w:t>元；</w:t>
      </w:r>
    </w:p>
    <w:p>
      <w:pPr>
        <w:shd w:val="clea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2.4 标段划分：</w:t>
      </w:r>
    </w:p>
    <w:tbl>
      <w:tblPr>
        <w:tblStyle w:val="6"/>
        <w:tblW w:w="475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1231"/>
        <w:gridCol w:w="5171"/>
        <w:gridCol w:w="11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7" w:hRule="atLeast"/>
          <w:tblHeader/>
          <w:jc w:val="center"/>
        </w:trPr>
        <w:tc>
          <w:tcPr>
            <w:tcW w:w="566" w:type="dxa"/>
            <w:tcBorders>
              <w:tl2br w:val="nil"/>
              <w:tr2bl w:val="nil"/>
            </w:tcBorders>
            <w:vAlign w:val="center"/>
          </w:tcPr>
          <w:p>
            <w:pPr>
              <w:keepNext w:val="0"/>
              <w:keepLines w:val="0"/>
              <w:suppressLineNumbers w:val="0"/>
              <w:shd w:val="clear"/>
              <w:spacing w:before="120" w:beforeLines="50" w:beforeAutospacing="0" w:after="0" w:afterAutospacing="0"/>
              <w:ind w:left="0" w:right="0"/>
              <w:jc w:val="center"/>
              <w:rPr>
                <w:rFonts w:hint="default" w:ascii="Times New Roman" w:hAnsi="Times New Roman" w:cs="Times New Roman"/>
                <w:b/>
                <w:bCs/>
                <w:highlight w:val="none"/>
              </w:rPr>
            </w:pPr>
            <w:r>
              <w:rPr>
                <w:rFonts w:hint="default" w:ascii="Times New Roman" w:hAnsi="Times New Roman" w:cs="Times New Roman"/>
                <w:b/>
                <w:bCs/>
                <w:highlight w:val="none"/>
              </w:rPr>
              <w:t>工程类别</w:t>
            </w:r>
          </w:p>
        </w:tc>
        <w:tc>
          <w:tcPr>
            <w:tcW w:w="1291" w:type="dxa"/>
            <w:tcBorders>
              <w:tl2br w:val="nil"/>
              <w:tr2bl w:val="nil"/>
            </w:tcBorders>
            <w:vAlign w:val="center"/>
          </w:tcPr>
          <w:p>
            <w:pPr>
              <w:keepNext w:val="0"/>
              <w:keepLines w:val="0"/>
              <w:suppressLineNumbers w:val="0"/>
              <w:shd w:val="clear"/>
              <w:spacing w:before="0" w:beforeAutospacing="0" w:after="0" w:afterAutospacing="0"/>
              <w:ind w:left="0" w:right="0"/>
              <w:jc w:val="center"/>
              <w:rPr>
                <w:rFonts w:hint="default" w:ascii="Times New Roman" w:hAnsi="Times New Roman" w:cs="Times New Roman"/>
                <w:b/>
                <w:bCs/>
                <w:kern w:val="0"/>
                <w:highlight w:val="none"/>
              </w:rPr>
            </w:pPr>
            <w:r>
              <w:rPr>
                <w:rFonts w:hint="default" w:ascii="Times New Roman" w:hAnsi="Times New Roman" w:cs="Times New Roman"/>
                <w:b/>
                <w:bCs/>
                <w:kern w:val="0"/>
                <w:highlight w:val="none"/>
              </w:rPr>
              <w:t>标段名称</w:t>
            </w:r>
          </w:p>
        </w:tc>
        <w:tc>
          <w:tcPr>
            <w:tcW w:w="5508" w:type="dxa"/>
            <w:tcBorders>
              <w:tl2br w:val="nil"/>
              <w:tr2bl w:val="nil"/>
            </w:tcBorders>
            <w:vAlign w:val="center"/>
          </w:tcPr>
          <w:p>
            <w:pPr>
              <w:keepNext w:val="0"/>
              <w:keepLines w:val="0"/>
              <w:suppressLineNumbers w:val="0"/>
              <w:shd w:val="clear"/>
              <w:spacing w:before="0" w:beforeAutospacing="0" w:after="0" w:afterAutospacing="0"/>
              <w:ind w:left="0" w:right="0"/>
              <w:jc w:val="center"/>
              <w:rPr>
                <w:rFonts w:hint="default" w:ascii="Times New Roman" w:hAnsi="Times New Roman" w:cs="Times New Roman"/>
                <w:b/>
                <w:bCs/>
                <w:kern w:val="0"/>
                <w:highlight w:val="none"/>
              </w:rPr>
            </w:pPr>
            <w:r>
              <w:rPr>
                <w:rFonts w:hint="default" w:ascii="Times New Roman" w:hAnsi="Times New Roman" w:cs="Times New Roman"/>
                <w:b/>
                <w:bCs/>
                <w:kern w:val="0"/>
                <w:highlight w:val="none"/>
              </w:rPr>
              <w:t>主要工程内容</w:t>
            </w:r>
          </w:p>
          <w:p>
            <w:pPr>
              <w:keepNext w:val="0"/>
              <w:keepLines w:val="0"/>
              <w:suppressLineNumbers w:val="0"/>
              <w:shd w:val="clear"/>
              <w:spacing w:before="0" w:beforeAutospacing="0" w:after="0" w:afterAutospacing="0"/>
              <w:ind w:left="0" w:right="0"/>
              <w:jc w:val="center"/>
              <w:rPr>
                <w:rFonts w:hint="default" w:ascii="Times New Roman" w:hAnsi="Times New Roman" w:cs="Times New Roman"/>
                <w:b/>
                <w:bCs/>
                <w:highlight w:val="none"/>
              </w:rPr>
            </w:pPr>
          </w:p>
        </w:tc>
        <w:tc>
          <w:tcPr>
            <w:tcW w:w="1203" w:type="dxa"/>
            <w:tcBorders>
              <w:tl2br w:val="nil"/>
              <w:tr2bl w:val="nil"/>
            </w:tcBorders>
            <w:vAlign w:val="center"/>
          </w:tcPr>
          <w:p>
            <w:pPr>
              <w:keepNext w:val="0"/>
              <w:keepLines w:val="0"/>
              <w:suppressLineNumbers w:val="0"/>
              <w:shd w:val="clear"/>
              <w:spacing w:before="0" w:beforeAutospacing="0" w:after="0" w:afterAutospacing="0"/>
              <w:ind w:left="0" w:right="0"/>
              <w:jc w:val="center"/>
              <w:rPr>
                <w:rFonts w:hint="default" w:ascii="Times New Roman" w:hAnsi="Times New Roman" w:cs="Times New Roman"/>
                <w:b/>
                <w:bCs/>
                <w:kern w:val="0"/>
                <w:highlight w:val="none"/>
              </w:rPr>
            </w:pPr>
            <w:r>
              <w:rPr>
                <w:rFonts w:hint="default" w:ascii="Times New Roman" w:hAnsi="Times New Roman" w:cs="Times New Roman"/>
                <w:b/>
                <w:bCs/>
                <w:kern w:val="0"/>
                <w:highlight w:val="none"/>
              </w:rPr>
              <w:t>计划工期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566" w:type="dxa"/>
            <w:tcBorders>
              <w:tl2br w:val="nil"/>
              <w:tr2bl w:val="nil"/>
            </w:tcBorders>
            <w:vAlign w:val="center"/>
          </w:tcPr>
          <w:p>
            <w:pPr>
              <w:keepNext w:val="0"/>
              <w:keepLines w:val="0"/>
              <w:suppressLineNumbers w:val="0"/>
              <w:shd w:val="clear"/>
              <w:spacing w:before="0" w:beforeAutospacing="0" w:after="0" w:afterAutospacing="0"/>
              <w:ind w:left="0" w:right="0"/>
              <w:jc w:val="center"/>
              <w:rPr>
                <w:rFonts w:hint="default" w:ascii="Times New Roman" w:hAnsi="Times New Roman" w:cs="Times New Roman"/>
                <w:highlight w:val="none"/>
              </w:rPr>
            </w:pPr>
            <w:r>
              <w:rPr>
                <w:rFonts w:hint="default" w:ascii="Times New Roman" w:hAnsi="Times New Roman" w:cs="Times New Roman"/>
                <w:highlight w:val="none"/>
              </w:rPr>
              <w:t>施工</w:t>
            </w:r>
          </w:p>
        </w:tc>
        <w:tc>
          <w:tcPr>
            <w:tcW w:w="1291" w:type="dxa"/>
            <w:tcBorders>
              <w:tl2br w:val="nil"/>
              <w:tr2bl w:val="nil"/>
            </w:tcBorders>
            <w:vAlign w:val="center"/>
          </w:tcPr>
          <w:p>
            <w:pPr>
              <w:keepNext w:val="0"/>
              <w:keepLines w:val="0"/>
              <w:suppressLineNumbers w:val="0"/>
              <w:shd w:val="clear"/>
              <w:wordWrap w:val="0"/>
              <w:spacing w:before="0" w:beforeAutospacing="0" w:after="0" w:afterAutospacing="0"/>
              <w:ind w:left="0" w:right="0"/>
              <w:jc w:val="center"/>
              <w:rPr>
                <w:rFonts w:hint="default" w:ascii="Times New Roman" w:hAnsi="Times New Roman" w:eastAsia="宋体" w:cs="Times New Roman"/>
                <w:highlight w:val="none"/>
                <w:lang w:val="en-US" w:eastAsia="zh-CN"/>
              </w:rPr>
            </w:pPr>
            <w:r>
              <w:rPr>
                <w:rFonts w:hint="eastAsia" w:ascii="Times New Roman" w:hAnsi="Times New Roman" w:cs="Times New Roman"/>
                <w:highlight w:val="none"/>
                <w:lang w:eastAsia="zh-CN"/>
              </w:rPr>
              <w:t>安康市G211火石沟桥等6座桥梁预防性养护工程施工</w:t>
            </w:r>
            <w:r>
              <w:rPr>
                <w:rFonts w:hint="default" w:ascii="Times New Roman" w:hAnsi="Times New Roman" w:cs="Times New Roman"/>
                <w:highlight w:val="none"/>
                <w:lang w:eastAsia="zh-CN"/>
              </w:rPr>
              <w:t>招标</w:t>
            </w:r>
            <w:r>
              <w:rPr>
                <w:rFonts w:hint="eastAsia" w:ascii="Times New Roman" w:hAnsi="Times New Roman" w:cs="Times New Roman"/>
                <w:highlight w:val="none"/>
                <w:lang w:val="en-US" w:eastAsia="zh-CN"/>
              </w:rPr>
              <w:t>QLSG标段</w:t>
            </w:r>
          </w:p>
        </w:tc>
        <w:tc>
          <w:tcPr>
            <w:tcW w:w="5508" w:type="dxa"/>
            <w:tcBorders>
              <w:tl2br w:val="nil"/>
              <w:tr2bl w:val="nil"/>
            </w:tcBorders>
            <w:vAlign w:val="center"/>
          </w:tcPr>
          <w:p>
            <w:pPr>
              <w:keepNext w:val="0"/>
              <w:keepLines w:val="0"/>
              <w:suppressLineNumbers w:val="0"/>
              <w:shd w:val="clear"/>
              <w:wordWrap w:val="0"/>
              <w:spacing w:before="0" w:beforeAutospacing="0" w:after="0" w:afterAutospacing="0"/>
              <w:ind w:left="0" w:right="0"/>
              <w:jc w:val="lef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下列施工图设计范围内的养护工程施工准备、施工、缺陷修复等全部工作：</w:t>
            </w:r>
          </w:p>
          <w:p>
            <w:pPr>
              <w:keepNext w:val="0"/>
              <w:keepLines w:val="0"/>
              <w:suppressLineNumbers w:val="0"/>
              <w:shd w:val="clear"/>
              <w:wordWrap w:val="0"/>
              <w:spacing w:before="0" w:beforeAutospacing="0" w:after="0" w:afterAutospacing="0"/>
              <w:ind w:left="0" w:right="0"/>
              <w:jc w:val="lef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1.火石沟桥</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拆除原金属牛栏式栏杆及混凝土基础，并新建嵌入式护栏基础，新建五(SA)级混凝土防撞护栏，左侧58.5m,右侧45.5m</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在桥头与其衔接的路基段，采用A级钢板波形梁BT端头；施划桥梁段行车道中心线和边缘线。</w:t>
            </w:r>
          </w:p>
          <w:p>
            <w:pPr>
              <w:keepNext w:val="0"/>
              <w:keepLines w:val="0"/>
              <w:suppressLineNumbers w:val="0"/>
              <w:shd w:val="clear"/>
              <w:wordWrap w:val="0"/>
              <w:spacing w:before="0" w:beforeAutospacing="0" w:after="0" w:afterAutospacing="0"/>
              <w:ind w:left="0" w:right="0"/>
              <w:jc w:val="left"/>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2.罗家沟桥：拆除原金属牛栏式栏杆及混凝土基础，并新建嵌入式护栏基础，新建五(SA)级混凝土防撞护栏，左侧58.5m,右侧45.5m；在桥头与其衔接的路基段，采用A级钢板波形梁BT端头；施划桥梁段行车道中心线和边缘线。</w:t>
            </w:r>
          </w:p>
          <w:p>
            <w:pPr>
              <w:keepNext w:val="0"/>
              <w:keepLines w:val="0"/>
              <w:suppressLineNumbers w:val="0"/>
              <w:shd w:val="clear"/>
              <w:wordWrap w:val="0"/>
              <w:spacing w:before="0" w:beforeAutospacing="0" w:after="0" w:afterAutospacing="0"/>
              <w:ind w:left="0" w:right="0"/>
              <w:jc w:val="left"/>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3.竹溪河桥：拆除原牛栏式钢栏杆及混凝土基础，并新建嵌入式护栏基础，新建五(SA)级混凝土防撞护栏，左右两侧各46m；在桥头与其衔接的路基段，采用A级钢板波形梁BT端头；施划桥梁段行车道中心线和边缘线。增设窄桥和限速标志各2个。</w:t>
            </w:r>
          </w:p>
          <w:p>
            <w:pPr>
              <w:keepNext w:val="0"/>
              <w:keepLines w:val="0"/>
              <w:suppressLineNumbers w:val="0"/>
              <w:shd w:val="clear"/>
              <w:wordWrap w:val="0"/>
              <w:spacing w:before="0" w:beforeAutospacing="0" w:after="0" w:afterAutospacing="0"/>
              <w:ind w:left="0" w:right="0"/>
              <w:jc w:val="left"/>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4.桑树沟任河大桥：拆除原人行道混凝土面板及栏杆，增设悬挑钢板，悬挑钢板通过锚栓与原桥护栏基础、上部梁板悬臂连接，并在悬挑钢板底部增设支撑。同时，将原人行道外侧钢筋混凝土梁柱式栏杆更换为无缝钢管栏杆，外侧栏杆宽度由25cm缩减至15cm,人行道铺装采用钢板。加宽后人行道净宽由0.6m增大为1m。桥头桥尾增设限速标志。</w:t>
            </w:r>
          </w:p>
          <w:p>
            <w:pPr>
              <w:keepNext w:val="0"/>
              <w:keepLines w:val="0"/>
              <w:suppressLineNumbers w:val="0"/>
              <w:shd w:val="clear"/>
              <w:wordWrap w:val="0"/>
              <w:spacing w:before="0" w:beforeAutospacing="0" w:after="0" w:afterAutospacing="0"/>
              <w:ind w:left="0" w:right="0"/>
              <w:jc w:val="left"/>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5.向阳立交桥：对桥梁直线段护栏向内侧改移50cm,改移后直线段人行道净宽增大至1.1m;同意拆除桥梁曲线段原人行道混凝土面板及栏杆，增设悬挑钢板，悬挑钢板通过锚栓与原桥护栏基础连接，并在悬挑钢板底部增设支撑，同时将原人行道外侧梁柱式栏杆更换为无缝钢管栏杆，人行道铺装采用花纹钢板，改造后曲线段人行道净宽最小为1.1m。桥头桥尾增设限速标志。</w:t>
            </w:r>
          </w:p>
          <w:p>
            <w:pPr>
              <w:keepNext w:val="0"/>
              <w:keepLines w:val="0"/>
              <w:suppressLineNumbers w:val="0"/>
              <w:shd w:val="clear"/>
              <w:wordWrap w:val="0"/>
              <w:spacing w:before="0" w:beforeAutospacing="0" w:after="0" w:afterAutospacing="0"/>
              <w:ind w:left="0" w:right="0"/>
              <w:jc w:val="left"/>
              <w:rPr>
                <w:rFonts w:hint="default" w:ascii="Times New Roman" w:hAnsi="Times New Roman" w:cs="Times New Roman"/>
                <w:highlight w:val="none"/>
              </w:rPr>
            </w:pPr>
            <w:r>
              <w:rPr>
                <w:rFonts w:hint="eastAsia" w:ascii="Times New Roman" w:hAnsi="Times New Roman" w:cs="Times New Roman"/>
                <w:highlight w:val="none"/>
                <w:lang w:val="en-US" w:eastAsia="zh-CN"/>
              </w:rPr>
              <w:t>6.太月河桥：拆除原人行道混凝土面板及栏杆，增设悬挑钢板，悬挑钢板通过锚栓与原桥护栏基础、上部梁板悬臂连接，并在悬挑钢板底部增设支撑。同时，将原人行道外侧梁柱式栏杆更换为无缝钢管栏杆，人行道铺装采用花纹钢板，加宽后人行道净宽由0.6m增大为1m。桥头桥尾增设限速标志。</w:t>
            </w:r>
          </w:p>
        </w:tc>
        <w:tc>
          <w:tcPr>
            <w:tcW w:w="1203" w:type="dxa"/>
            <w:tcBorders>
              <w:tl2br w:val="nil"/>
              <w:tr2bl w:val="nil"/>
            </w:tcBorders>
            <w:vAlign w:val="center"/>
          </w:tcPr>
          <w:p>
            <w:pPr>
              <w:keepNext w:val="0"/>
              <w:keepLines w:val="0"/>
              <w:suppressLineNumbers w:val="0"/>
              <w:shd w:val="clear"/>
              <w:spacing w:before="0" w:beforeAutospacing="0" w:after="0" w:afterAutospacing="0"/>
              <w:ind w:left="0" w:leftChars="0" w:right="0" w:firstLine="0" w:firstLineChars="0"/>
              <w:jc w:val="center"/>
              <w:rPr>
                <w:rFonts w:hint="default" w:ascii="Times New Roman" w:hAnsi="Times New Roman" w:cs="Times New Roman"/>
                <w:highlight w:val="none"/>
              </w:rPr>
            </w:pPr>
            <w:r>
              <w:rPr>
                <w:rFonts w:hint="eastAsia" w:ascii="Times New Roman" w:hAnsi="Times New Roman" w:cs="Times New Roman"/>
                <w:highlight w:val="none"/>
                <w:lang w:val="en-US" w:eastAsia="zh-CN"/>
              </w:rPr>
              <w:t>50</w:t>
            </w:r>
            <w:r>
              <w:rPr>
                <w:rFonts w:hint="default" w:ascii="Times New Roman" w:hAnsi="Times New Roman" w:cs="Times New Roman"/>
                <w:highlight w:val="none"/>
              </w:rPr>
              <w:t>天</w:t>
            </w:r>
          </w:p>
        </w:tc>
      </w:tr>
    </w:tbl>
    <w:p>
      <w:pPr>
        <w:shd w:val="clea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2.5 其他：</w:t>
      </w:r>
      <w:bookmarkStart w:id="6" w:name="_Toc1430"/>
      <w:bookmarkStart w:id="7" w:name="_Toc19165"/>
      <w:bookmarkStart w:id="8" w:name="_Toc1220"/>
      <w:bookmarkStart w:id="9" w:name="_Toc470760975"/>
      <w:bookmarkStart w:id="10" w:name="_Toc17135"/>
      <w:bookmarkStart w:id="11" w:name="_Toc501257035"/>
      <w:r>
        <w:rPr>
          <w:rFonts w:hint="default" w:ascii="Times New Roman" w:hAnsi="Times New Roman" w:cs="Times New Roman"/>
          <w:sz w:val="24"/>
          <w:highlight w:val="none"/>
        </w:rPr>
        <w:t>计划开工日期2023年10月10日（以开工令为准），缺陷责任期1年。</w:t>
      </w:r>
    </w:p>
    <w:p>
      <w:pPr>
        <w:shd w:val="clear"/>
        <w:spacing w:line="360" w:lineRule="auto"/>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lang w:val="en-US" w:eastAsia="zh-CN"/>
        </w:rPr>
        <w:t>3. 投标人资格要求</w:t>
      </w:r>
      <w:bookmarkEnd w:id="6"/>
      <w:bookmarkEnd w:id="7"/>
      <w:bookmarkEnd w:id="8"/>
      <w:bookmarkEnd w:id="9"/>
      <w:bookmarkEnd w:id="10"/>
      <w:bookmarkEnd w:id="11"/>
    </w:p>
    <w:p>
      <w:pPr>
        <w:pStyle w:val="9"/>
        <w:shd w:val="clear"/>
        <w:spacing w:line="360" w:lineRule="auto"/>
        <w:ind w:firstLine="480"/>
        <w:jc w:val="left"/>
        <w:rPr>
          <w:rFonts w:hint="default" w:ascii="Times New Roman" w:hAnsi="Times New Roman" w:cs="Times New Roman"/>
          <w:sz w:val="24"/>
          <w:szCs w:val="28"/>
          <w:highlight w:val="none"/>
        </w:rPr>
      </w:pPr>
      <w:r>
        <w:rPr>
          <w:rFonts w:hint="default" w:ascii="Times New Roman" w:hAnsi="Times New Roman" w:cs="Times New Roman"/>
          <w:sz w:val="24"/>
          <w:highlight w:val="none"/>
        </w:rPr>
        <w:t xml:space="preserve">3.1 </w:t>
      </w:r>
      <w:r>
        <w:rPr>
          <w:rFonts w:hint="eastAsia" w:ascii="Times New Roman" w:hAnsi="Times New Roman" w:cs="Times New Roman"/>
          <w:sz w:val="24"/>
          <w:szCs w:val="28"/>
          <w:highlight w:val="none"/>
          <w:lang w:eastAsia="zh-CN"/>
        </w:rPr>
        <w:t>安康市G211火石沟桥等6座桥梁预防性养护工程施工</w:t>
      </w:r>
      <w:r>
        <w:rPr>
          <w:rFonts w:hint="default" w:ascii="Times New Roman" w:hAnsi="Times New Roman" w:cs="Times New Roman"/>
          <w:sz w:val="24"/>
          <w:szCs w:val="28"/>
          <w:highlight w:val="none"/>
        </w:rPr>
        <w:t>招标</w:t>
      </w:r>
      <w:r>
        <w:rPr>
          <w:rFonts w:hint="eastAsia" w:ascii="Times New Roman" w:hAnsi="Times New Roman" w:cs="Times New Roman"/>
          <w:sz w:val="24"/>
          <w:szCs w:val="28"/>
          <w:highlight w:val="none"/>
          <w:lang w:val="en-US" w:eastAsia="zh-CN"/>
        </w:rPr>
        <w:t>QLSG</w:t>
      </w:r>
      <w:r>
        <w:rPr>
          <w:rFonts w:hint="default" w:ascii="Times New Roman" w:hAnsi="Times New Roman" w:cs="Times New Roman"/>
          <w:sz w:val="24"/>
          <w:szCs w:val="28"/>
          <w:highlight w:val="none"/>
        </w:rPr>
        <w:t>标段：本</w:t>
      </w:r>
      <w:r>
        <w:rPr>
          <w:rFonts w:hint="default" w:ascii="Times New Roman" w:hAnsi="Times New Roman" w:cs="Times New Roman"/>
          <w:sz w:val="24"/>
          <w:szCs w:val="28"/>
          <w:highlight w:val="none"/>
          <w:lang w:val="en-US" w:eastAsia="zh-CN"/>
        </w:rPr>
        <w:t>标段</w:t>
      </w:r>
      <w:r>
        <w:rPr>
          <w:rFonts w:hint="default" w:ascii="Times New Roman" w:hAnsi="Times New Roman" w:cs="Times New Roman"/>
          <w:sz w:val="24"/>
          <w:szCs w:val="28"/>
          <w:highlight w:val="none"/>
        </w:rPr>
        <w:t>要求投标人须具备以下资质、以下业绩，并在人员、设备、资金等方面具备相应的施工能力。</w:t>
      </w:r>
    </w:p>
    <w:p>
      <w:pPr>
        <w:pStyle w:val="4"/>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rPr>
        <w:t>3.1.1</w:t>
      </w:r>
      <w:r>
        <w:rPr>
          <w:rFonts w:hint="default" w:ascii="Times New Roman" w:hAnsi="Times New Roman" w:cs="Times New Roman"/>
          <w:sz w:val="24"/>
          <w:highlight w:val="none"/>
        </w:rPr>
        <w:t>资质要求：</w:t>
      </w:r>
    </w:p>
    <w:p>
      <w:pPr>
        <w:pStyle w:val="4"/>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lang w:val="en-US" w:eastAsia="zh-CN"/>
        </w:rPr>
        <w:t>①</w:t>
      </w:r>
      <w:r>
        <w:rPr>
          <w:rFonts w:hint="default" w:ascii="Times New Roman" w:hAnsi="Times New Roman" w:cs="Times New Roman"/>
          <w:sz w:val="24"/>
          <w:szCs w:val="28"/>
          <w:highlight w:val="none"/>
        </w:rPr>
        <w:t>投标人必须具有国内独立法人资格及有效的企业法人营业执照；</w:t>
      </w:r>
    </w:p>
    <w:p>
      <w:pPr>
        <w:pStyle w:val="4"/>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lang w:val="en-US" w:eastAsia="zh-CN"/>
        </w:rPr>
        <w:t>②</w:t>
      </w:r>
      <w:r>
        <w:rPr>
          <w:rFonts w:hint="default" w:ascii="Times New Roman" w:hAnsi="Times New Roman" w:cs="Times New Roman"/>
          <w:sz w:val="24"/>
          <w:szCs w:val="28"/>
          <w:highlight w:val="none"/>
        </w:rPr>
        <w:t>投标人具有住房和城乡建设部门颁发的公路工程施工总承包三级及以上资质</w:t>
      </w:r>
      <w:r>
        <w:rPr>
          <w:rFonts w:hint="eastAsia" w:ascii="Times New Roman" w:hAnsi="Times New Roman" w:cs="Times New Roman"/>
          <w:sz w:val="24"/>
          <w:szCs w:val="28"/>
          <w:highlight w:val="none"/>
          <w:lang w:eastAsia="zh-CN"/>
        </w:rPr>
        <w:t>，</w:t>
      </w:r>
      <w:r>
        <w:rPr>
          <w:rFonts w:hint="default" w:ascii="Times New Roman" w:hAnsi="Times New Roman" w:cs="Times New Roman"/>
          <w:sz w:val="24"/>
          <w:szCs w:val="28"/>
          <w:highlight w:val="none"/>
        </w:rPr>
        <w:t>或具备交通运输主管部门颁发的桥梁养护甲级资质及交通安全设施养护资质；</w:t>
      </w:r>
    </w:p>
    <w:p>
      <w:pPr>
        <w:pStyle w:val="4"/>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lang w:val="en-US" w:eastAsia="zh-CN"/>
        </w:rPr>
        <w:t>③</w:t>
      </w:r>
      <w:r>
        <w:rPr>
          <w:rFonts w:hint="default" w:ascii="Times New Roman" w:hAnsi="Times New Roman" w:cs="Times New Roman"/>
          <w:sz w:val="24"/>
          <w:szCs w:val="28"/>
          <w:highlight w:val="none"/>
        </w:rPr>
        <w:t>投标人必须具有有效的安全生产许可证。</w:t>
      </w:r>
    </w:p>
    <w:p>
      <w:pPr>
        <w:pStyle w:val="4"/>
        <w:shd w:val="clear"/>
        <w:spacing w:line="360" w:lineRule="auto"/>
        <w:ind w:firstLine="480" w:firstLineChars="200"/>
        <w:jc w:val="both"/>
        <w:rPr>
          <w:rFonts w:hint="default" w:ascii="Times New Roman" w:hAnsi="Times New Roman" w:cs="Times New Roman"/>
          <w:sz w:val="24"/>
          <w:highlight w:val="none"/>
        </w:rPr>
      </w:pPr>
      <w:r>
        <w:rPr>
          <w:rFonts w:hint="default" w:ascii="Times New Roman" w:hAnsi="Times New Roman" w:cs="Times New Roman"/>
          <w:sz w:val="24"/>
          <w:highlight w:val="none"/>
        </w:rPr>
        <w:t>3.1.2业绩要求：</w:t>
      </w:r>
    </w:p>
    <w:p>
      <w:pPr>
        <w:pStyle w:val="4"/>
        <w:shd w:val="clear"/>
        <w:spacing w:line="360" w:lineRule="auto"/>
        <w:ind w:firstLine="480" w:firstLineChars="200"/>
        <w:jc w:val="both"/>
        <w:rPr>
          <w:rFonts w:hint="default" w:ascii="Times New Roman" w:hAnsi="Times New Roman" w:cs="Times New Roman"/>
          <w:sz w:val="24"/>
          <w:highlight w:val="none"/>
        </w:rPr>
      </w:pPr>
      <w:r>
        <w:rPr>
          <w:rFonts w:hint="default" w:ascii="Times New Roman" w:hAnsi="Times New Roman" w:cs="Times New Roman"/>
          <w:sz w:val="24"/>
          <w:highlight w:val="none"/>
        </w:rPr>
        <w:t>投标人在近5年（2018年1月1日至投标截止日，以“</w:t>
      </w:r>
      <w:r>
        <w:rPr>
          <w:rFonts w:hint="eastAsia" w:ascii="Times New Roman" w:hAnsi="Times New Roman" w:cs="Times New Roman"/>
          <w:sz w:val="24"/>
          <w:highlight w:val="none"/>
          <w:lang w:val="en-US" w:eastAsia="zh-CN"/>
        </w:rPr>
        <w:t>交工</w:t>
      </w:r>
      <w:r>
        <w:rPr>
          <w:rFonts w:hint="default" w:ascii="Times New Roman" w:hAnsi="Times New Roman" w:cs="Times New Roman"/>
          <w:sz w:val="24"/>
          <w:highlight w:val="none"/>
        </w:rPr>
        <w:t>”时间为准）内独立完成过1项公路</w:t>
      </w:r>
      <w:r>
        <w:rPr>
          <w:rFonts w:hint="eastAsia" w:ascii="Times New Roman" w:hAnsi="Times New Roman" w:cs="Times New Roman"/>
          <w:sz w:val="24"/>
          <w:highlight w:val="none"/>
          <w:lang w:val="en-US" w:eastAsia="zh-CN"/>
        </w:rPr>
        <w:t>养护工程（含桥梁工程）</w:t>
      </w:r>
      <w:r>
        <w:rPr>
          <w:rFonts w:hint="default" w:ascii="Times New Roman" w:hAnsi="Times New Roman" w:cs="Times New Roman"/>
          <w:sz w:val="24"/>
          <w:highlight w:val="none"/>
        </w:rPr>
        <w:t>施工</w:t>
      </w:r>
      <w:r>
        <w:rPr>
          <w:rFonts w:hint="eastAsia" w:ascii="Times New Roman" w:hAnsi="Times New Roman" w:cs="Times New Roman"/>
          <w:sz w:val="24"/>
          <w:highlight w:val="none"/>
          <w:lang w:val="en-US" w:eastAsia="zh-CN"/>
        </w:rPr>
        <w:t>业绩</w:t>
      </w:r>
      <w:r>
        <w:rPr>
          <w:rFonts w:hint="default" w:ascii="Times New Roman" w:hAnsi="Times New Roman" w:cs="Times New Roman"/>
          <w:sz w:val="24"/>
          <w:highlight w:val="none"/>
        </w:rPr>
        <w:t>。</w:t>
      </w:r>
    </w:p>
    <w:p>
      <w:pPr>
        <w:pStyle w:val="4"/>
        <w:shd w:val="clear"/>
        <w:spacing w:line="360" w:lineRule="auto"/>
        <w:ind w:firstLine="480" w:firstLineChars="200"/>
        <w:jc w:val="both"/>
        <w:rPr>
          <w:rFonts w:hint="default" w:ascii="Times New Roman" w:hAnsi="Times New Roman" w:cs="Times New Roman"/>
          <w:sz w:val="24"/>
          <w:highlight w:val="none"/>
        </w:rPr>
      </w:pPr>
      <w:r>
        <w:rPr>
          <w:rFonts w:hint="default" w:ascii="Times New Roman" w:hAnsi="Times New Roman" w:cs="Times New Roman"/>
          <w:sz w:val="24"/>
          <w:highlight w:val="none"/>
        </w:rPr>
        <w:t>3.1.3财务要求：</w:t>
      </w:r>
    </w:p>
    <w:p>
      <w:pPr>
        <w:pStyle w:val="4"/>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rPr>
        <w:t>投标人在20</w:t>
      </w:r>
      <w:r>
        <w:rPr>
          <w:rFonts w:hint="eastAsia" w:ascii="Times New Roman" w:hAnsi="Times New Roman" w:cs="Times New Roman"/>
          <w:sz w:val="24"/>
          <w:szCs w:val="28"/>
          <w:highlight w:val="none"/>
          <w:lang w:val="en-US" w:eastAsia="zh-CN"/>
        </w:rPr>
        <w:t>20</w:t>
      </w:r>
      <w:r>
        <w:rPr>
          <w:rFonts w:hint="default" w:ascii="Times New Roman" w:hAnsi="Times New Roman" w:cs="Times New Roman"/>
          <w:sz w:val="24"/>
          <w:szCs w:val="28"/>
          <w:highlight w:val="none"/>
        </w:rPr>
        <w:t>年至202</w:t>
      </w:r>
      <w:r>
        <w:rPr>
          <w:rFonts w:hint="eastAsia" w:ascii="Times New Roman" w:hAnsi="Times New Roman" w:cs="Times New Roman"/>
          <w:sz w:val="24"/>
          <w:szCs w:val="28"/>
          <w:highlight w:val="none"/>
          <w:lang w:val="en-US" w:eastAsia="zh-CN"/>
        </w:rPr>
        <w:t>2</w:t>
      </w:r>
      <w:r>
        <w:rPr>
          <w:rFonts w:hint="default" w:ascii="Times New Roman" w:hAnsi="Times New Roman" w:cs="Times New Roman"/>
          <w:sz w:val="24"/>
          <w:szCs w:val="28"/>
          <w:highlight w:val="none"/>
        </w:rPr>
        <w:t>年的各年末流动资产与流动负债比均大于1</w:t>
      </w:r>
      <w:r>
        <w:rPr>
          <w:rFonts w:hint="eastAsia" w:ascii="Times New Roman" w:hAnsi="Times New Roman" w:cs="Times New Roman"/>
          <w:sz w:val="24"/>
          <w:szCs w:val="28"/>
          <w:highlight w:val="none"/>
          <w:lang w:eastAsia="zh-CN"/>
        </w:rPr>
        <w:t>。</w:t>
      </w:r>
    </w:p>
    <w:p>
      <w:pPr>
        <w:pStyle w:val="4"/>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highlight w:val="none"/>
        </w:rPr>
        <w:t>3.1.4主要人员要求：</w:t>
      </w:r>
    </w:p>
    <w:p>
      <w:pPr>
        <w:pStyle w:val="4"/>
        <w:shd w:val="clear"/>
        <w:spacing w:line="360" w:lineRule="auto"/>
        <w:ind w:firstLine="480" w:firstLineChars="200"/>
        <w:jc w:val="both"/>
        <w:rPr>
          <w:rFonts w:hint="default" w:ascii="Times New Roman" w:hAnsi="Times New Roman" w:eastAsia="宋体" w:cs="Times New Roman"/>
          <w:sz w:val="24"/>
          <w:szCs w:val="28"/>
          <w:highlight w:val="none"/>
          <w:lang w:eastAsia="zh-CN"/>
        </w:rPr>
      </w:pPr>
      <w:r>
        <w:rPr>
          <w:rFonts w:hint="default" w:ascii="Times New Roman" w:hAnsi="Times New Roman" w:cs="Times New Roman"/>
          <w:sz w:val="24"/>
          <w:szCs w:val="28"/>
          <w:highlight w:val="none"/>
          <w:lang w:val="en-US" w:eastAsia="zh-CN"/>
        </w:rPr>
        <w:t>①</w:t>
      </w:r>
      <w:r>
        <w:rPr>
          <w:rFonts w:hint="default" w:ascii="Times New Roman" w:hAnsi="Times New Roman" w:cs="Times New Roman"/>
          <w:sz w:val="24"/>
          <w:szCs w:val="28"/>
          <w:highlight w:val="none"/>
        </w:rPr>
        <w:t>项目经理1名：具有公路工程相关专业中级及以上技术职称，具有公路工程专业二级注册建造师证书并注册在本单位，具有交通运输主管部门颁发的安全生产考核合格B类证书注册在本单位且在有效期内；至少担任过1项公路养护</w:t>
      </w:r>
      <w:r>
        <w:rPr>
          <w:rFonts w:hint="eastAsia" w:ascii="Times New Roman" w:hAnsi="Times New Roman" w:cs="Times New Roman"/>
          <w:sz w:val="24"/>
          <w:szCs w:val="28"/>
          <w:highlight w:val="none"/>
          <w:lang w:val="en-US" w:eastAsia="zh-CN"/>
        </w:rPr>
        <w:t>工程（含桥梁工程）</w:t>
      </w:r>
      <w:r>
        <w:rPr>
          <w:rFonts w:hint="default" w:ascii="Times New Roman" w:hAnsi="Times New Roman" w:cs="Times New Roman"/>
          <w:sz w:val="24"/>
          <w:szCs w:val="28"/>
          <w:highlight w:val="none"/>
        </w:rPr>
        <w:t>施工项目经理（或项目副经理）；</w:t>
      </w:r>
    </w:p>
    <w:p>
      <w:pPr>
        <w:pStyle w:val="4"/>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rPr>
        <w:t>目前未在其他项目上任职，或由投标人出具的虽在其他项目上任职但本项目中标后能够从该项目撤离的承诺。</w:t>
      </w:r>
    </w:p>
    <w:p>
      <w:pPr>
        <w:pStyle w:val="4"/>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lang w:val="en-US" w:eastAsia="zh-CN"/>
        </w:rPr>
        <w:t>②</w:t>
      </w:r>
      <w:r>
        <w:rPr>
          <w:rFonts w:hint="default" w:ascii="Times New Roman" w:hAnsi="Times New Roman" w:cs="Times New Roman"/>
          <w:sz w:val="24"/>
          <w:szCs w:val="28"/>
          <w:highlight w:val="none"/>
        </w:rPr>
        <w:t>项目总工1名：具有公路工程相关专业中级及以上技术职称，具有交通运输主管部门颁发的安全生产考核合格B类证书注册在本单位且在有效期内，至少担任过1项公路养护</w:t>
      </w:r>
      <w:r>
        <w:rPr>
          <w:rFonts w:hint="eastAsia" w:ascii="Times New Roman" w:hAnsi="Times New Roman" w:cs="Times New Roman"/>
          <w:sz w:val="24"/>
          <w:szCs w:val="28"/>
          <w:highlight w:val="none"/>
          <w:lang w:val="en-US" w:eastAsia="zh-CN"/>
        </w:rPr>
        <w:t>工程（含桥梁工程）</w:t>
      </w:r>
      <w:r>
        <w:rPr>
          <w:rFonts w:hint="default" w:ascii="Times New Roman" w:hAnsi="Times New Roman" w:cs="Times New Roman"/>
          <w:sz w:val="24"/>
          <w:szCs w:val="28"/>
          <w:highlight w:val="none"/>
        </w:rPr>
        <w:t>施工项目总工（或技术负责人或项目副总工）；</w:t>
      </w:r>
    </w:p>
    <w:p>
      <w:pPr>
        <w:pStyle w:val="4"/>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rPr>
        <w:t>目前未在其他项目上任职，或由投标人出具的虽在其他项目上任职但本项目中标后能够从该项目撤离的承诺。</w:t>
      </w:r>
    </w:p>
    <w:p>
      <w:pPr>
        <w:pStyle w:val="4"/>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rPr>
        <w:t>3.1.5企业信誉要求：投标人存在下列不良状况或不良信用记录的单位，不得参加投标：</w:t>
      </w:r>
    </w:p>
    <w:p>
      <w:pPr>
        <w:pStyle w:val="4"/>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lang w:val="en-US" w:eastAsia="zh-CN"/>
        </w:rPr>
        <w:t>①</w:t>
      </w:r>
      <w:r>
        <w:rPr>
          <w:rFonts w:hint="default" w:ascii="Times New Roman" w:hAnsi="Times New Roman" w:cs="Times New Roman"/>
          <w:sz w:val="24"/>
          <w:szCs w:val="28"/>
          <w:highlight w:val="none"/>
        </w:rPr>
        <w:t>凡被交通运输部或陕西省交通运输主管部门取消或暂停在陕西省投标资格且在处罚期内的单位无资格参与本项目投标；</w:t>
      </w:r>
    </w:p>
    <w:p>
      <w:pPr>
        <w:pStyle w:val="4"/>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lang w:val="en-US" w:eastAsia="zh-CN"/>
        </w:rPr>
        <w:t>②</w:t>
      </w:r>
      <w:r>
        <w:rPr>
          <w:rFonts w:hint="default" w:ascii="Times New Roman" w:hAnsi="Times New Roman" w:cs="Times New Roman"/>
          <w:sz w:val="24"/>
          <w:szCs w:val="28"/>
          <w:highlight w:val="none"/>
        </w:rPr>
        <w:t>凡在2022年度陕西省公路养护施工单位信用评价结果中，被评为D级或曾被评为D级但处罚期限未过的单位无资格参与本项目投标；</w:t>
      </w:r>
    </w:p>
    <w:p>
      <w:pPr>
        <w:pStyle w:val="4"/>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lang w:val="en-US" w:eastAsia="zh-CN"/>
        </w:rPr>
        <w:t>③</w:t>
      </w:r>
      <w:r>
        <w:rPr>
          <w:rFonts w:hint="default" w:ascii="Times New Roman" w:hAnsi="Times New Roman" w:cs="Times New Roman"/>
          <w:sz w:val="24"/>
          <w:szCs w:val="28"/>
          <w:highlight w:val="none"/>
        </w:rPr>
        <w:t>被责令停业，暂扣或吊销执照，或吊销资质证书；</w:t>
      </w:r>
    </w:p>
    <w:p>
      <w:pPr>
        <w:pStyle w:val="4"/>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lang w:val="en-US" w:eastAsia="zh-CN"/>
        </w:rPr>
        <w:t>④</w:t>
      </w:r>
      <w:r>
        <w:rPr>
          <w:rFonts w:hint="default" w:ascii="Times New Roman" w:hAnsi="Times New Roman" w:cs="Times New Roman"/>
          <w:sz w:val="24"/>
          <w:szCs w:val="28"/>
          <w:highlight w:val="none"/>
        </w:rPr>
        <w:t>进入清算程序，或被宣告破产，或其他丧失履约能力的情形；</w:t>
      </w:r>
    </w:p>
    <w:p>
      <w:pPr>
        <w:pStyle w:val="4"/>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lang w:val="en-US" w:eastAsia="zh-CN"/>
        </w:rPr>
        <w:t>⑤</w:t>
      </w:r>
      <w:r>
        <w:rPr>
          <w:rFonts w:hint="default" w:ascii="Times New Roman" w:hAnsi="Times New Roman" w:cs="Times New Roman"/>
          <w:sz w:val="24"/>
          <w:szCs w:val="28"/>
          <w:highlight w:val="none"/>
        </w:rPr>
        <w:t>在国家企业信用信息公示系统（http://www.gsxt.gov.cn/）中被列入严重违法失信企业名单；在“信用中国”网站（</w:t>
      </w:r>
      <w:bookmarkStart w:id="17" w:name="_GoBack"/>
      <w:r>
        <w:rPr>
          <w:rFonts w:hint="default" w:ascii="Times New Roman" w:hAnsi="Times New Roman" w:cs="Times New Roman"/>
          <w:sz w:val="24"/>
          <w:szCs w:val="28"/>
          <w:highlight w:val="none"/>
        </w:rPr>
        <w:t>http://www.creditchina.gov.cn/</w:t>
      </w:r>
      <w:bookmarkEnd w:id="17"/>
      <w:r>
        <w:rPr>
          <w:rFonts w:hint="default" w:ascii="Times New Roman" w:hAnsi="Times New Roman" w:cs="Times New Roman"/>
          <w:sz w:val="24"/>
          <w:szCs w:val="28"/>
          <w:highlight w:val="none"/>
        </w:rPr>
        <w:t>）中被列入失信被执行人名单；</w:t>
      </w:r>
    </w:p>
    <w:p>
      <w:pPr>
        <w:pStyle w:val="4"/>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lang w:val="en-US" w:eastAsia="zh-CN"/>
        </w:rPr>
        <w:t>⑥</w:t>
      </w:r>
      <w:r>
        <w:rPr>
          <w:rFonts w:hint="default" w:ascii="Times New Roman" w:hAnsi="Times New Roman" w:cs="Times New Roman"/>
          <w:sz w:val="24"/>
          <w:szCs w:val="28"/>
          <w:highlight w:val="none"/>
        </w:rPr>
        <w:t>投标人及其法定代表人、拟委任的项目经理、项目总工在近三年内有行贿犯罪行为的；</w:t>
      </w:r>
    </w:p>
    <w:p>
      <w:pPr>
        <w:pStyle w:val="4"/>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lang w:val="en-US" w:eastAsia="zh-CN"/>
        </w:rPr>
        <w:t>⑦</w:t>
      </w:r>
      <w:r>
        <w:rPr>
          <w:rFonts w:hint="default" w:ascii="Times New Roman" w:hAnsi="Times New Roman" w:cs="Times New Roman"/>
          <w:sz w:val="24"/>
          <w:szCs w:val="28"/>
          <w:highlight w:val="none"/>
        </w:rPr>
        <w:t>法律法规规定的其他情形。</w:t>
      </w:r>
    </w:p>
    <w:p>
      <w:pPr>
        <w:rPr>
          <w:rFonts w:hint="default" w:ascii="Times New Roman" w:hAnsi="Times New Roman" w:eastAsia="黑体" w:cs="Times New Roman"/>
          <w:b w:val="0"/>
          <w:color w:val="auto"/>
          <w:sz w:val="28"/>
          <w:szCs w:val="28"/>
          <w:highlight w:val="none"/>
        </w:rPr>
      </w:pPr>
      <w:r>
        <w:rPr>
          <w:rFonts w:hint="default" w:ascii="Times New Roman" w:hAnsi="Times New Roman" w:eastAsia="黑体" w:cs="Times New Roman"/>
          <w:b w:val="0"/>
          <w:color w:val="auto"/>
          <w:sz w:val="28"/>
          <w:szCs w:val="28"/>
          <w:highlight w:val="none"/>
        </w:rPr>
        <w:br w:type="page"/>
      </w:r>
    </w:p>
    <w:p>
      <w:pPr>
        <w:pStyle w:val="2"/>
        <w:shd w:val="clear"/>
        <w:spacing w:before="480" w:after="240" w:line="240" w:lineRule="auto"/>
        <w:jc w:val="center"/>
        <w:rPr>
          <w:rFonts w:hint="default" w:ascii="Times New Roman" w:hAnsi="Times New Roman" w:eastAsia="黑体" w:cs="Times New Roman"/>
          <w:b w:val="0"/>
          <w:color w:val="auto"/>
          <w:sz w:val="28"/>
          <w:szCs w:val="28"/>
          <w:highlight w:val="none"/>
        </w:rPr>
      </w:pPr>
      <w:r>
        <w:rPr>
          <w:rFonts w:hint="default" w:ascii="Times New Roman" w:hAnsi="Times New Roman" w:eastAsia="黑体" w:cs="Times New Roman"/>
          <w:b w:val="0"/>
          <w:color w:val="auto"/>
          <w:sz w:val="28"/>
          <w:szCs w:val="28"/>
          <w:highlight w:val="none"/>
        </w:rPr>
        <w:t>评标办法（技术评分最低标价法）</w:t>
      </w:r>
    </w:p>
    <w:p>
      <w:pPr>
        <w:pStyle w:val="2"/>
        <w:shd w:val="clear"/>
        <w:spacing w:before="480" w:after="240" w:line="380" w:lineRule="atLeast"/>
        <w:rPr>
          <w:rFonts w:hint="default" w:ascii="Times New Roman" w:hAnsi="Times New Roman" w:eastAsia="黑体" w:cs="Times New Roman"/>
          <w:b w:val="0"/>
          <w:color w:val="auto"/>
          <w:sz w:val="24"/>
          <w:szCs w:val="24"/>
          <w:highlight w:val="none"/>
        </w:rPr>
      </w:pPr>
      <w:bookmarkStart w:id="12" w:name="_Toc31200"/>
      <w:bookmarkStart w:id="13" w:name="_Toc17379"/>
      <w:bookmarkStart w:id="14" w:name="_Toc501257141"/>
      <w:bookmarkStart w:id="15" w:name="_Toc9708"/>
      <w:bookmarkStart w:id="16" w:name="_Toc11272"/>
      <w:r>
        <w:rPr>
          <w:rFonts w:hint="default" w:ascii="Times New Roman" w:hAnsi="Times New Roman" w:eastAsia="黑体" w:cs="Times New Roman"/>
          <w:b w:val="0"/>
          <w:color w:val="auto"/>
          <w:sz w:val="24"/>
          <w:szCs w:val="24"/>
          <w:highlight w:val="none"/>
        </w:rPr>
        <w:t>评标办法前附表</w:t>
      </w:r>
      <w:bookmarkEnd w:id="12"/>
      <w:bookmarkEnd w:id="13"/>
      <w:bookmarkEnd w:id="14"/>
      <w:bookmarkEnd w:id="15"/>
      <w:bookmarkEnd w:id="16"/>
    </w:p>
    <w:tbl>
      <w:tblPr>
        <w:tblStyle w:val="6"/>
        <w:tblW w:w="889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232"/>
        <w:gridCol w:w="557"/>
        <w:gridCol w:w="703"/>
        <w:gridCol w:w="235"/>
        <w:gridCol w:w="1941"/>
        <w:gridCol w:w="787"/>
        <w:gridCol w:w="3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blHeader/>
        </w:trPr>
        <w:tc>
          <w:tcPr>
            <w:tcW w:w="2308" w:type="dxa"/>
            <w:gridSpan w:val="4"/>
            <w:tcBorders>
              <w:top w:val="single" w:color="auto" w:sz="4" w:space="0"/>
              <w:bottom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条款号</w:t>
            </w:r>
          </w:p>
        </w:tc>
        <w:tc>
          <w:tcPr>
            <w:tcW w:w="658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bCs/>
                <w:color w:val="auto"/>
                <w:spacing w:val="4"/>
                <w:sz w:val="24"/>
                <w:highlight w:val="none"/>
              </w:rPr>
            </w:pPr>
            <w:r>
              <w:rPr>
                <w:rFonts w:hint="default" w:ascii="Times New Roman" w:hAnsi="Times New Roman" w:cs="Times New Roman"/>
                <w:bCs/>
                <w:color w:val="auto"/>
                <w:spacing w:val="4"/>
                <w:sz w:val="24"/>
                <w:highlight w:val="none"/>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8" w:type="dxa"/>
            <w:gridSpan w:val="2"/>
            <w:tcBorders>
              <w:top w:val="single" w:color="auto" w:sz="4" w:space="0"/>
              <w:bottom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p>
        </w:tc>
        <w:tc>
          <w:tcPr>
            <w:tcW w:w="1260" w:type="dxa"/>
            <w:gridSpan w:val="2"/>
            <w:tcBorders>
              <w:top w:val="single" w:color="auto" w:sz="4" w:space="0"/>
              <w:bottom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firstLine="0" w:firstLineChars="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评标方法</w:t>
            </w:r>
          </w:p>
        </w:tc>
        <w:tc>
          <w:tcPr>
            <w:tcW w:w="6583" w:type="dxa"/>
            <w:gridSpan w:val="4"/>
            <w:tcBorders>
              <w:top w:val="single" w:color="auto" w:sz="4" w:space="0"/>
              <w:left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本次评标采用技术评分最低标价法，通过第二信封评审的投标人，按照评标价由低到高的顺序推荐中标候选人。评标价相等时，评标委员会依次按照以下优先顺序推荐中标候选人：</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在2022年度陕西省公路养护施工单位</w:t>
            </w:r>
            <w:r>
              <w:rPr>
                <w:rFonts w:hint="default" w:ascii="Times New Roman" w:hAnsi="Times New Roman" w:cs="Times New Roman"/>
                <w:color w:val="auto"/>
                <w:sz w:val="24"/>
                <w:highlight w:val="none"/>
              </w:rPr>
              <w:t>信用评价结果等级较高的投标人优先；</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）商务和技术得分较高的投标人优先。</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）商务和技术得分相等时，则依次按照施工组织设计、主要人员、技术能力、履约信誉各单项评分因素得分高的优先；各单项评分因素也相等的，按投标文件递交时间先后排序，先递交排序靠前的优先。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8" w:type="dxa"/>
            <w:gridSpan w:val="2"/>
            <w:tcBorders>
              <w:top w:val="single" w:color="auto" w:sz="4" w:space="0"/>
              <w:bottom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2.1.1</w:t>
            </w:r>
          </w:p>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2.1.3</w:t>
            </w:r>
          </w:p>
        </w:tc>
        <w:tc>
          <w:tcPr>
            <w:tcW w:w="1260" w:type="dxa"/>
            <w:gridSpan w:val="2"/>
            <w:tcBorders>
              <w:top w:val="single" w:color="auto" w:sz="4" w:space="0"/>
              <w:bottom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形式评审与响应性评审标准</w:t>
            </w:r>
          </w:p>
        </w:tc>
        <w:tc>
          <w:tcPr>
            <w:tcW w:w="6583" w:type="dxa"/>
            <w:gridSpan w:val="4"/>
            <w:tcBorders>
              <w:top w:val="single" w:color="auto" w:sz="4" w:space="0"/>
              <w:left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第一个信封（商务及技术文件）评审标准：</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（1）投标文件按照招标文件规定的格式、内容填写，字迹清晰可辨：</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a.投标函按招标文件规定填报了项目名称、标段号、补遗书编号（如有）、工期、工程质量要求及安全目标；</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b.投标函附录的所有数据均符合招标文件规定；</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c.投标文件组成齐全完整，内容均按规定填写。</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（2）投标文件上法定代表人或其委托代理人的签字、投标人的单位章盖章齐全，符合招标文件规定。</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（3）投标人按照招标文件的规定提供了投标保证金：</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a.投标保证金金额符合招标文件规定的金额，且投标保证金有效期不少于投标有效期；</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b.若投标保证金采用现金形式提交，投标人应在递交投标文件截止时间之前，将投标保证金由投标人的基本账户转入招标人指定账户；</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c.若投标保证金采用银行保函形式提交，银行保函的格式、开具保函的银行均满足招标文件要求，且在递交投标文件截止时间之前向招标人提交了银行保函原件。</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（4）投标人法定代表人授权委托代理人签署投标文件的，须提交授权委托书，且授权人和被授权人均在授权委托书上签名。</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（5）投标人法定代表人亲自签署投标文件的，提供了法定代表人身份证明，且法定代表人在法定代表人身份证明上签名。</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）同一投标人未提交两个以上不同的投标文件，但招标文件要求提交备选投标的除外。</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7</w:t>
            </w:r>
            <w:r>
              <w:rPr>
                <w:rFonts w:hint="default" w:ascii="Times New Roman" w:hAnsi="Times New Roman" w:cs="Times New Roman"/>
                <w:color w:val="auto"/>
                <w:sz w:val="24"/>
                <w:highlight w:val="none"/>
              </w:rPr>
              <w:t>）投标文件中未出现有关投标报价的内容。</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）投标文件载明的招标项目完成期限未超过招标文件规定的时限。</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9</w:t>
            </w:r>
            <w:r>
              <w:rPr>
                <w:rFonts w:hint="default" w:ascii="Times New Roman" w:hAnsi="Times New Roman" w:cs="Times New Roman"/>
                <w:color w:val="auto"/>
                <w:sz w:val="24"/>
                <w:highlight w:val="none"/>
              </w:rPr>
              <w:t>）投标人未以联合体形式参与投标。</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）投标文件对招标文件的实质性要求和条件作出响应。</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投标文件编制符合招标文件要求。</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）权利义务符合招标文件规定：</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a.投标人应接受招标文件规定的风险划分原则，未提出新的风险划分办法；</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b.投标人未增加发包人的责任范围，或减少投标人义务；</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c.投标人未提出不同的工程验收、计量、支付办法；</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d.投标人对合同纠纷、事故处理办法未提出异议；</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e.投标人在投标活动中无欺诈行为；</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f.投标人未对合同条款有重要保留。</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投标文件未满足以上任一条件的，其投标视为无效，评标委员会将否决其投标。</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第二个信封（报价文件）评审标准：</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（1）投标文件按照招标文件规定的格式、内容填写，字迹清晰可辨：</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a.投标函按招标文件规定填报了项目名称、标段号、补遗书编号（如有）、投标价（包括大写金额和小写金额）；</w:t>
            </w:r>
          </w:p>
          <w:p>
            <w:pPr>
              <w:keepNext w:val="0"/>
              <w:keepLines w:val="0"/>
              <w:suppressLineNumbers w:val="0"/>
              <w:shd w:val="clear"/>
              <w:spacing w:before="0" w:beforeAutospacing="0" w:after="0" w:afterAutospacing="0" w:line="360" w:lineRule="atLeas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b.已标价工程量清单说明文字与招标文件规定一致，未进行实质性修改和删减；</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c.投标文件组成齐全完整，内容均按规定填写。</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（2）投标文件上法定代表人或其委托代理人的签字、投标人的单位章盖章齐全，符合招标文件规定。</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（3）投标报价未超过招标文件设定的最高投标限价。</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（4）投标函中报价的大写金额能够确定具体数值。</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（5）同一投标人未提交两个以上不同的投标报价。</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（6）投标人未提交调价函。</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（7）投标人填写完毕的工程量固化清单未对工程量固化清单电子文件中的数据、格式和运算定义进行修改；工程量固化清单中的投标报价和投标函大写金额报价一致。</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投标文件编制符合招标文件要求。</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投标文件未满足以上任一条件的，其投标视为无效，评标委员会将否决其投标。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8" w:type="dxa"/>
            <w:gridSpan w:val="2"/>
            <w:tcBorders>
              <w:top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2.1.2</w:t>
            </w:r>
          </w:p>
        </w:tc>
        <w:tc>
          <w:tcPr>
            <w:tcW w:w="1260" w:type="dxa"/>
            <w:gridSpan w:val="2"/>
            <w:tcBorders>
              <w:top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资格评审</w:t>
            </w:r>
          </w:p>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标准</w:t>
            </w:r>
          </w:p>
        </w:tc>
        <w:tc>
          <w:tcPr>
            <w:tcW w:w="6583" w:type="dxa"/>
            <w:gridSpan w:val="4"/>
            <w:tcBorders>
              <w:top w:val="single" w:color="auto" w:sz="4" w:space="0"/>
              <w:left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（1）投标人具备有效的营业执照、资质证书、安全生产许可证和基本账户开户许可证（或基本存款账户证明）。 </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（2）投标人的资质等级符合招标文件规定。</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（3）投标人的财务状况符合招标文件规定。</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（4）投标人的类似项目业绩符合招标文件规定。</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（5）投标人的信誉符合招标文件规定。</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（6）投标人的项目经理和项目总工资格、在岗情况符合招标文件规定。</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（7）投标人的其他要求符合招标文件规定。</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（8）投标人不存在第二章“投标人须知”第1.4.3项或第1.4.4项规定的任何一种情形。</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投标文件未满足以上任一条件的，其投标视为无效，评标委员会将否决其投标。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8" w:type="dxa"/>
            <w:gridSpan w:val="2"/>
            <w:tcBorders>
              <w:top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2.2.1</w:t>
            </w:r>
          </w:p>
        </w:tc>
        <w:tc>
          <w:tcPr>
            <w:tcW w:w="1260" w:type="dxa"/>
            <w:gridSpan w:val="2"/>
            <w:tcBorders>
              <w:top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第一个信封评分分值构成</w:t>
            </w:r>
          </w:p>
          <w:p>
            <w:pPr>
              <w:keepNext w:val="0"/>
              <w:keepLines w:val="0"/>
              <w:suppressLineNumbers w:val="0"/>
              <w:shd w:val="clear"/>
              <w:spacing w:before="0" w:beforeAutospacing="0" w:after="0" w:afterAutospacing="0" w:line="400" w:lineRule="exact"/>
              <w:ind w:left="-105" w:leftChars="-50" w:right="-105" w:rightChars="-5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（总分100分）</w:t>
            </w:r>
          </w:p>
        </w:tc>
        <w:tc>
          <w:tcPr>
            <w:tcW w:w="6583" w:type="dxa"/>
            <w:gridSpan w:val="4"/>
            <w:tcBorders>
              <w:top w:val="single" w:color="auto" w:sz="4" w:space="0"/>
              <w:left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施工组织设计：40分</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主</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要</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人</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员： 35分</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技</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术</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能</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力： 10分</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履</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约</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信</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誉： 15分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8" w:type="dxa"/>
            <w:gridSpan w:val="2"/>
            <w:tcBorders>
              <w:top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2.2.3</w:t>
            </w:r>
          </w:p>
        </w:tc>
        <w:tc>
          <w:tcPr>
            <w:tcW w:w="1260" w:type="dxa"/>
            <w:gridSpan w:val="2"/>
            <w:tcBorders>
              <w:top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第二个信封详细评审标准</w:t>
            </w:r>
          </w:p>
        </w:tc>
        <w:tc>
          <w:tcPr>
            <w:tcW w:w="6583" w:type="dxa"/>
            <w:gridSpan w:val="4"/>
            <w:tcBorders>
              <w:top w:val="single" w:color="auto" w:sz="4" w:space="0"/>
              <w:left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评标价计算公式：</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评标价＝投标函中的投标总报价-暂估价-暂列金额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8" w:type="dxa"/>
            <w:gridSpan w:val="2"/>
            <w:tcBorders>
              <w:top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3.2.4</w:t>
            </w:r>
          </w:p>
        </w:tc>
        <w:tc>
          <w:tcPr>
            <w:tcW w:w="1260" w:type="dxa"/>
            <w:gridSpan w:val="2"/>
            <w:tcBorders>
              <w:top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通过第一个信封详细评审的投标人数量</w:t>
            </w:r>
          </w:p>
        </w:tc>
        <w:tc>
          <w:tcPr>
            <w:tcW w:w="6583" w:type="dxa"/>
            <w:gridSpan w:val="4"/>
            <w:tcBorders>
              <w:top w:val="single" w:color="auto" w:sz="4" w:space="0"/>
              <w:left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按照投标人的商务和技术得分由高到低排序，选择前</w:t>
            </w:r>
            <w:r>
              <w:rPr>
                <w:rFonts w:hint="default" w:ascii="Times New Roman" w:hAnsi="Times New Roman" w:cs="Times New Roman"/>
                <w:color w:val="auto"/>
                <w:sz w:val="24"/>
                <w:highlight w:val="none"/>
                <w:u w:val="single"/>
                <w:lang w:val="en-US" w:eastAsia="zh-CN"/>
              </w:rPr>
              <w:t>3</w:t>
            </w:r>
            <w:r>
              <w:rPr>
                <w:rFonts w:hint="default" w:ascii="Times New Roman" w:hAnsi="Times New Roman" w:cs="Times New Roman"/>
                <w:color w:val="auto"/>
                <w:sz w:val="24"/>
                <w:highlight w:val="none"/>
              </w:rPr>
              <w:t>名（含第3名）通过详细评审，对排名在前</w:t>
            </w:r>
            <w:r>
              <w:rPr>
                <w:rFonts w:hint="default"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名（含第</w:t>
            </w:r>
            <w:r>
              <w:rPr>
                <w:rFonts w:hint="default"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名）的投标人的投标文件第二个信封进行评审。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271" w:type="dxa"/>
            <w:gridSpan w:val="7"/>
            <w:tcBorders>
              <w:top w:val="single" w:color="auto" w:sz="4" w:space="0"/>
            </w:tcBorders>
            <w:vAlign w:val="top"/>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评分因素与权重分值</w:t>
            </w:r>
            <w:r>
              <w:rPr>
                <w:rStyle w:val="8"/>
                <w:rFonts w:hint="default" w:ascii="Times New Roman" w:hAnsi="Times New Roman" w:cs="Times New Roman"/>
                <w:bCs/>
                <w:color w:val="auto"/>
                <w:sz w:val="24"/>
                <w:highlight w:val="none"/>
              </w:rPr>
              <w:footnoteReference w:id="0"/>
            </w:r>
          </w:p>
        </w:tc>
        <w:tc>
          <w:tcPr>
            <w:tcW w:w="3620" w:type="dxa"/>
            <w:vMerge w:val="restart"/>
            <w:tcBorders>
              <w:top w:val="single" w:color="auto" w:sz="4" w:space="0"/>
            </w:tcBorders>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b/>
                <w:color w:val="auto"/>
                <w:sz w:val="24"/>
                <w:highlight w:val="none"/>
              </w:rPr>
            </w:pPr>
            <w:r>
              <w:rPr>
                <w:rFonts w:hint="default" w:ascii="Times New Roman" w:hAnsi="Times New Roman" w:cs="Times New Roman"/>
                <w:bCs/>
                <w:color w:val="auto"/>
                <w:sz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6" w:type="dxa"/>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条款号</w:t>
            </w:r>
          </w:p>
        </w:tc>
        <w:tc>
          <w:tcPr>
            <w:tcW w:w="789" w:type="dxa"/>
            <w:gridSpan w:val="2"/>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评分因素</w:t>
            </w:r>
          </w:p>
        </w:tc>
        <w:tc>
          <w:tcPr>
            <w:tcW w:w="938" w:type="dxa"/>
            <w:gridSpan w:val="2"/>
            <w:vAlign w:val="center"/>
          </w:tcPr>
          <w:p>
            <w:pPr>
              <w:keepNext w:val="0"/>
              <w:keepLines w:val="0"/>
              <w:suppressLineNumbers w:val="0"/>
              <w:shd w:val="clear"/>
              <w:spacing w:before="0" w:beforeAutospacing="0" w:after="0" w:afterAutospacing="0" w:line="400" w:lineRule="exact"/>
              <w:ind w:left="-105" w:leftChars="-50" w:right="-105" w:rightChars="-50"/>
              <w:jc w:val="center"/>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评分因素权重分值</w:t>
            </w:r>
          </w:p>
        </w:tc>
        <w:tc>
          <w:tcPr>
            <w:tcW w:w="1941" w:type="dxa"/>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各评分因素细分项</w:t>
            </w:r>
          </w:p>
        </w:tc>
        <w:tc>
          <w:tcPr>
            <w:tcW w:w="787" w:type="dxa"/>
            <w:vAlign w:val="center"/>
          </w:tcPr>
          <w:p>
            <w:pPr>
              <w:keepNext w:val="0"/>
              <w:keepLines w:val="0"/>
              <w:suppressLineNumbers w:val="0"/>
              <w:shd w:val="clear"/>
              <w:spacing w:before="0" w:beforeAutospacing="0" w:after="0" w:afterAutospacing="0" w:line="400" w:lineRule="exact"/>
              <w:ind w:left="0" w:right="0"/>
              <w:jc w:val="right"/>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分值</w:t>
            </w:r>
          </w:p>
        </w:tc>
        <w:tc>
          <w:tcPr>
            <w:tcW w:w="3620" w:type="dxa"/>
            <w:vMerge w:val="continue"/>
            <w:vAlign w:val="top"/>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2.2.2（1）</w:t>
            </w:r>
          </w:p>
        </w:tc>
        <w:tc>
          <w:tcPr>
            <w:tcW w:w="789" w:type="dxa"/>
            <w:gridSpan w:val="2"/>
            <w:vMerge w:val="restart"/>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施工组织设计</w:t>
            </w:r>
          </w:p>
        </w:tc>
        <w:tc>
          <w:tcPr>
            <w:tcW w:w="938" w:type="dxa"/>
            <w:gridSpan w:val="2"/>
            <w:vMerge w:val="restart"/>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0分</w:t>
            </w:r>
          </w:p>
        </w:tc>
        <w:tc>
          <w:tcPr>
            <w:tcW w:w="1941" w:type="dxa"/>
            <w:vAlign w:val="center"/>
          </w:tcPr>
          <w:p>
            <w:pPr>
              <w:keepNext w:val="0"/>
              <w:keepLines w:val="0"/>
              <w:suppressLineNumbers w:val="0"/>
              <w:shd w:val="clear"/>
              <w:spacing w:before="0" w:beforeAutospacing="0" w:after="0" w:afterAutospacing="0" w:line="400" w:lineRule="exact"/>
              <w:ind w:left="0" w:leftChars="0" w:right="0" w:right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总体施工组织布置及规划</w:t>
            </w:r>
          </w:p>
        </w:tc>
        <w:tc>
          <w:tcPr>
            <w:tcW w:w="787" w:type="dxa"/>
            <w:vAlign w:val="center"/>
          </w:tcPr>
          <w:p>
            <w:pPr>
              <w:keepNext w:val="0"/>
              <w:keepLines w:val="0"/>
              <w:suppressLineNumbers w:val="0"/>
              <w:shd w:val="clear"/>
              <w:spacing w:before="0" w:beforeAutospacing="0" w:after="0" w:afterAutospacing="0" w:line="400" w:lineRule="exact"/>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分</w:t>
            </w:r>
          </w:p>
        </w:tc>
        <w:tc>
          <w:tcPr>
            <w:tcW w:w="3620" w:type="dxa"/>
            <w:vAlign w:val="center"/>
          </w:tcPr>
          <w:p>
            <w:pPr>
              <w:keepNext w:val="0"/>
              <w:keepLines w:val="0"/>
              <w:numPr>
                <w:ilvl w:val="0"/>
                <w:numId w:val="1"/>
              </w:numPr>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总体施工组织布置及规划满足工程基本要求，得</w:t>
            </w:r>
            <w:r>
              <w:rPr>
                <w:rFonts w:hint="default"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分；</w:t>
            </w:r>
          </w:p>
          <w:p>
            <w:pPr>
              <w:keepNext w:val="0"/>
              <w:keepLines w:val="0"/>
              <w:suppressLineNumbers w:val="0"/>
              <w:shd w:val="clear"/>
              <w:spacing w:before="0" w:beforeAutospacing="0" w:after="0" w:afterAutospacing="0" w:line="400" w:lineRule="exact"/>
              <w:ind w:left="0" w:leftChars="0" w:right="0" w:right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（2）切实可行且合理科学的，酌情加分，本项最高得</w:t>
            </w: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789" w:type="dxa"/>
            <w:gridSpan w:val="2"/>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938" w:type="dxa"/>
            <w:gridSpan w:val="2"/>
            <w:vMerge w:val="continue"/>
            <w:vAlign w:val="center"/>
          </w:tcPr>
          <w:p>
            <w:pPr>
              <w:keepNext w:val="0"/>
              <w:keepLines w:val="0"/>
              <w:suppressLineNumbers w:val="0"/>
              <w:shd w:val="clear"/>
              <w:spacing w:before="0" w:beforeAutospacing="0" w:after="0" w:afterAutospacing="0" w:line="400" w:lineRule="exact"/>
              <w:ind w:left="0" w:right="0"/>
              <w:jc w:val="right"/>
              <w:rPr>
                <w:rFonts w:hint="default" w:ascii="Times New Roman" w:hAnsi="Times New Roman" w:cs="Times New Roman"/>
                <w:color w:val="auto"/>
                <w:sz w:val="24"/>
                <w:highlight w:val="none"/>
                <w:u w:val="single"/>
              </w:rPr>
            </w:pPr>
          </w:p>
        </w:tc>
        <w:tc>
          <w:tcPr>
            <w:tcW w:w="1941" w:type="dxa"/>
            <w:vAlign w:val="center"/>
          </w:tcPr>
          <w:p>
            <w:pPr>
              <w:keepNext w:val="0"/>
              <w:keepLines w:val="0"/>
              <w:suppressLineNumbers w:val="0"/>
              <w:shd w:val="clear"/>
              <w:spacing w:before="0" w:beforeAutospacing="0" w:after="0" w:afterAutospacing="0" w:line="400" w:lineRule="exact"/>
              <w:ind w:left="0" w:leftChars="0" w:right="0" w:rightChars="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rPr>
              <w:t>主要工程项目的施工方案、方法与技术措施</w:t>
            </w:r>
          </w:p>
        </w:tc>
        <w:tc>
          <w:tcPr>
            <w:tcW w:w="787" w:type="dxa"/>
            <w:vAlign w:val="center"/>
          </w:tcPr>
          <w:p>
            <w:pPr>
              <w:keepNext w:val="0"/>
              <w:keepLines w:val="0"/>
              <w:suppressLineNumbers w:val="0"/>
              <w:shd w:val="clear"/>
              <w:spacing w:before="0" w:beforeAutospacing="0" w:after="0" w:afterAutospacing="0" w:line="400" w:lineRule="exact"/>
              <w:ind w:left="0" w:leftChars="0" w:right="0" w:rightChars="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lang w:val="en-US" w:eastAsia="zh-CN"/>
              </w:rPr>
              <w:t>10</w:t>
            </w:r>
            <w:r>
              <w:rPr>
                <w:rFonts w:hint="default" w:ascii="Times New Roman" w:hAnsi="Times New Roman" w:cs="Times New Roman"/>
                <w:color w:val="auto"/>
                <w:sz w:val="24"/>
                <w:highlight w:val="none"/>
              </w:rPr>
              <w:t>分</w:t>
            </w:r>
          </w:p>
        </w:tc>
        <w:tc>
          <w:tcPr>
            <w:tcW w:w="3620" w:type="dxa"/>
            <w:vAlign w:val="center"/>
          </w:tcPr>
          <w:p>
            <w:pPr>
              <w:keepNext w:val="0"/>
              <w:keepLines w:val="0"/>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（1）主要工程项目的施工方案、方法与技术措施满足工程基本要求，得</w:t>
            </w:r>
            <w:r>
              <w:rPr>
                <w:rFonts w:hint="default"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分；</w:t>
            </w:r>
          </w:p>
          <w:p>
            <w:pPr>
              <w:keepNext w:val="0"/>
              <w:keepLines w:val="0"/>
              <w:suppressLineNumbers w:val="0"/>
              <w:shd w:val="clear"/>
              <w:spacing w:before="0" w:beforeAutospacing="0" w:after="0" w:afterAutospacing="0" w:line="400" w:lineRule="exact"/>
              <w:ind w:left="0" w:leftChars="0" w:right="0" w:rightChars="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rPr>
              <w:t>（2）切实可行且合理科学的，酌情加分</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尤其对重点、关键和难点工程的施工方案、方法及其措施评审</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，本项最高得</w:t>
            </w:r>
            <w:r>
              <w:rPr>
                <w:rFonts w:hint="default" w:ascii="Times New Roman" w:hAnsi="Times New Roman" w:cs="Times New Roman"/>
                <w:color w:val="auto"/>
                <w:sz w:val="24"/>
                <w:highlight w:val="none"/>
                <w:lang w:val="en-US" w:eastAsia="zh-CN"/>
              </w:rPr>
              <w:t>10</w:t>
            </w:r>
            <w:r>
              <w:rPr>
                <w:rFonts w:hint="default" w:ascii="Times New Roman" w:hAnsi="Times New Roman" w:cs="Times New Roman"/>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789" w:type="dxa"/>
            <w:gridSpan w:val="2"/>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938" w:type="dxa"/>
            <w:gridSpan w:val="2"/>
            <w:vMerge w:val="continue"/>
            <w:vAlign w:val="center"/>
          </w:tcPr>
          <w:p>
            <w:pPr>
              <w:keepNext w:val="0"/>
              <w:keepLines w:val="0"/>
              <w:suppressLineNumbers w:val="0"/>
              <w:shd w:val="clear"/>
              <w:spacing w:before="0" w:beforeAutospacing="0" w:after="0" w:afterAutospacing="0" w:line="400" w:lineRule="exact"/>
              <w:ind w:left="0" w:right="0"/>
              <w:jc w:val="right"/>
              <w:rPr>
                <w:rFonts w:hint="default" w:ascii="Times New Roman" w:hAnsi="Times New Roman" w:cs="Times New Roman"/>
                <w:color w:val="auto"/>
                <w:sz w:val="24"/>
                <w:highlight w:val="none"/>
                <w:u w:val="single"/>
              </w:rPr>
            </w:pPr>
          </w:p>
        </w:tc>
        <w:tc>
          <w:tcPr>
            <w:tcW w:w="1941" w:type="dxa"/>
            <w:vAlign w:val="center"/>
          </w:tcPr>
          <w:p>
            <w:pPr>
              <w:keepNext w:val="0"/>
              <w:keepLines w:val="0"/>
              <w:suppressLineNumbers w:val="0"/>
              <w:shd w:val="clear"/>
              <w:spacing w:before="0" w:beforeAutospacing="0" w:after="0" w:afterAutospacing="0" w:line="400" w:lineRule="exact"/>
              <w:ind w:left="0" w:right="0"/>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农民工保障措施</w:t>
            </w:r>
          </w:p>
        </w:tc>
        <w:tc>
          <w:tcPr>
            <w:tcW w:w="787" w:type="dxa"/>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3分</w:t>
            </w:r>
          </w:p>
        </w:tc>
        <w:tc>
          <w:tcPr>
            <w:tcW w:w="3620" w:type="dxa"/>
            <w:vAlign w:val="center"/>
          </w:tcPr>
          <w:p>
            <w:pPr>
              <w:keepNext w:val="0"/>
              <w:keepLines w:val="0"/>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（1）农民工保障措施满足基本要求得1.8分；</w:t>
            </w:r>
          </w:p>
          <w:p>
            <w:pPr>
              <w:keepNext w:val="0"/>
              <w:keepLines w:val="0"/>
              <w:suppressLineNumbers w:val="0"/>
              <w:spacing w:before="0" w:beforeAutospacing="0" w:after="0" w:afterAutospacing="0" w:line="400" w:lineRule="exact"/>
              <w:ind w:left="0" w:right="0"/>
              <w:rPr>
                <w:rFonts w:hint="default" w:ascii="Times New Roman" w:hAnsi="Times New Roman" w:cs="Times New Roman"/>
                <w:color w:val="auto"/>
                <w:highlight w:val="none"/>
                <w:lang w:val="en-US" w:eastAsia="zh-CN"/>
              </w:rPr>
            </w:pPr>
            <w:r>
              <w:rPr>
                <w:rFonts w:hint="default" w:ascii="Times New Roman" w:hAnsi="Times New Roman" w:cs="Times New Roman"/>
                <w:color w:val="auto"/>
                <w:sz w:val="24"/>
                <w:highlight w:val="none"/>
                <w:lang w:val="en-US" w:eastAsia="zh-CN"/>
              </w:rPr>
              <w:t>（2）保障措施科学合理，可以切实保障农民工工资酌情加分，本项最高3分。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789" w:type="dxa"/>
            <w:gridSpan w:val="2"/>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938" w:type="dxa"/>
            <w:gridSpan w:val="2"/>
            <w:vMerge w:val="continue"/>
            <w:vAlign w:val="center"/>
          </w:tcPr>
          <w:p>
            <w:pPr>
              <w:keepNext w:val="0"/>
              <w:keepLines w:val="0"/>
              <w:suppressLineNumbers w:val="0"/>
              <w:shd w:val="clear"/>
              <w:spacing w:before="0" w:beforeAutospacing="0" w:after="0" w:afterAutospacing="0" w:line="400" w:lineRule="exact"/>
              <w:ind w:left="0" w:right="0"/>
              <w:jc w:val="right"/>
              <w:rPr>
                <w:rFonts w:hint="default" w:ascii="Times New Roman" w:hAnsi="Times New Roman" w:cs="Times New Roman"/>
                <w:color w:val="auto"/>
                <w:sz w:val="24"/>
                <w:highlight w:val="none"/>
                <w:u w:val="single"/>
              </w:rPr>
            </w:pPr>
          </w:p>
        </w:tc>
        <w:tc>
          <w:tcPr>
            <w:tcW w:w="1941" w:type="dxa"/>
            <w:vAlign w:val="center"/>
          </w:tcPr>
          <w:p>
            <w:pPr>
              <w:keepNext w:val="0"/>
              <w:keepLines w:val="0"/>
              <w:suppressLineNumbers w:val="0"/>
              <w:shd w:val="clear"/>
              <w:spacing w:before="0" w:beforeAutospacing="0" w:after="0" w:afterAutospacing="0" w:line="400" w:lineRule="exact"/>
              <w:ind w:left="0" w:leftChars="0" w:right="0" w:rightChars="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rPr>
              <w:t>工程质量、工期保证、安全生产管理体系及保证措施</w:t>
            </w:r>
          </w:p>
        </w:tc>
        <w:tc>
          <w:tcPr>
            <w:tcW w:w="787" w:type="dxa"/>
            <w:vAlign w:val="center"/>
          </w:tcPr>
          <w:p>
            <w:pPr>
              <w:keepNext w:val="0"/>
              <w:keepLines w:val="0"/>
              <w:suppressLineNumbers w:val="0"/>
              <w:shd w:val="clear"/>
              <w:spacing w:before="0" w:beforeAutospacing="0" w:after="0" w:afterAutospacing="0" w:line="400" w:lineRule="exact"/>
              <w:ind w:left="0" w:leftChars="0" w:right="0" w:rightChars="0"/>
              <w:jc w:val="center"/>
              <w:rPr>
                <w:rFonts w:hint="default" w:ascii="Times New Roman" w:hAnsi="Times New Roman" w:eastAsia="宋体" w:cs="Times New Roman"/>
                <w:color w:val="auto"/>
                <w:kern w:val="2"/>
                <w:sz w:val="24"/>
                <w:szCs w:val="24"/>
                <w:highlight w:val="none"/>
                <w:u w:val="single"/>
                <w:lang w:val="en-US" w:eastAsia="zh-CN" w:bidi="ar-SA"/>
              </w:rPr>
            </w:pPr>
            <w:r>
              <w:rPr>
                <w:rFonts w:hint="default" w:ascii="Times New Roman" w:hAnsi="Times New Roman" w:cs="Times New Roman"/>
                <w:color w:val="auto"/>
                <w:sz w:val="24"/>
                <w:highlight w:val="none"/>
              </w:rPr>
              <w:t>5分</w:t>
            </w:r>
          </w:p>
        </w:tc>
        <w:tc>
          <w:tcPr>
            <w:tcW w:w="3620" w:type="dxa"/>
            <w:vAlign w:val="center"/>
          </w:tcPr>
          <w:p>
            <w:pPr>
              <w:keepNext w:val="0"/>
              <w:keepLines w:val="0"/>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（1）工程质量目标、工期符合招标文件要求，工程质量、工期保证、安全生产管理体系及保证措施满足工程基本要求，得3分；</w:t>
            </w:r>
          </w:p>
          <w:p>
            <w:pPr>
              <w:keepNext w:val="0"/>
              <w:keepLines w:val="0"/>
              <w:suppressLineNumbers w:val="0"/>
              <w:shd w:val="clear"/>
              <w:spacing w:before="0" w:beforeAutospacing="0" w:after="0" w:afterAutospacing="0" w:line="400" w:lineRule="exact"/>
              <w:ind w:left="0" w:leftChars="0" w:right="0" w:rightChars="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rPr>
              <w:t>（2）切实可行且合理科学的，酌情加分，本项最高得5分。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789" w:type="dxa"/>
            <w:gridSpan w:val="2"/>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938" w:type="dxa"/>
            <w:gridSpan w:val="2"/>
            <w:vMerge w:val="continue"/>
            <w:vAlign w:val="center"/>
          </w:tcPr>
          <w:p>
            <w:pPr>
              <w:keepNext w:val="0"/>
              <w:keepLines w:val="0"/>
              <w:suppressLineNumbers w:val="0"/>
              <w:shd w:val="clear"/>
              <w:spacing w:before="0" w:beforeAutospacing="0" w:after="0" w:afterAutospacing="0" w:line="400" w:lineRule="exact"/>
              <w:ind w:left="0" w:right="0"/>
              <w:jc w:val="right"/>
              <w:rPr>
                <w:rFonts w:hint="default" w:ascii="Times New Roman" w:hAnsi="Times New Roman" w:cs="Times New Roman"/>
                <w:color w:val="auto"/>
                <w:sz w:val="24"/>
                <w:highlight w:val="none"/>
                <w:u w:val="single"/>
              </w:rPr>
            </w:pPr>
          </w:p>
        </w:tc>
        <w:tc>
          <w:tcPr>
            <w:tcW w:w="1941" w:type="dxa"/>
            <w:vAlign w:val="center"/>
          </w:tcPr>
          <w:p>
            <w:pPr>
              <w:keepNext w:val="0"/>
              <w:keepLines w:val="0"/>
              <w:suppressLineNumbers w:val="0"/>
              <w:shd w:val="clear"/>
              <w:spacing w:before="0" w:beforeAutospacing="0" w:after="0" w:afterAutospacing="0" w:line="400" w:lineRule="exact"/>
              <w:ind w:left="0" w:right="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rPr>
              <w:t>环境保护、水土保持保证体系及保证措施</w:t>
            </w:r>
          </w:p>
        </w:tc>
        <w:tc>
          <w:tcPr>
            <w:tcW w:w="787" w:type="dxa"/>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eastAsia="宋体" w:cs="Times New Roman"/>
                <w:color w:val="auto"/>
                <w:kern w:val="2"/>
                <w:sz w:val="24"/>
                <w:szCs w:val="24"/>
                <w:highlight w:val="none"/>
                <w:u w:val="single"/>
                <w:lang w:val="en-US" w:eastAsia="zh-CN" w:bidi="ar-SA"/>
              </w:rPr>
            </w:pP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分</w:t>
            </w:r>
          </w:p>
        </w:tc>
        <w:tc>
          <w:tcPr>
            <w:tcW w:w="3620" w:type="dxa"/>
            <w:vAlign w:val="center"/>
          </w:tcPr>
          <w:p>
            <w:pPr>
              <w:keepNext w:val="0"/>
              <w:keepLines w:val="0"/>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（1）环境保护、水土保持保证体系及保证措施满足工程基本要求，得</w:t>
            </w:r>
            <w:r>
              <w:rPr>
                <w:rFonts w:hint="default"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分；</w:t>
            </w:r>
          </w:p>
          <w:p>
            <w:pPr>
              <w:keepNext w:val="0"/>
              <w:keepLines w:val="0"/>
              <w:suppressLineNumbers w:val="0"/>
              <w:shd w:val="clear"/>
              <w:spacing w:before="0" w:beforeAutospacing="0" w:after="0" w:afterAutospacing="0" w:line="400" w:lineRule="exact"/>
              <w:ind w:left="0" w:right="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rPr>
              <w:t>（2）切实可行且合理科学的，酌情加分，本项最高得</w:t>
            </w: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789" w:type="dxa"/>
            <w:gridSpan w:val="2"/>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938" w:type="dxa"/>
            <w:gridSpan w:val="2"/>
            <w:vMerge w:val="continue"/>
            <w:vAlign w:val="center"/>
          </w:tcPr>
          <w:p>
            <w:pPr>
              <w:keepNext w:val="0"/>
              <w:keepLines w:val="0"/>
              <w:suppressLineNumbers w:val="0"/>
              <w:shd w:val="clear"/>
              <w:spacing w:before="0" w:beforeAutospacing="0" w:after="0" w:afterAutospacing="0" w:line="400" w:lineRule="exact"/>
              <w:ind w:left="0" w:right="0"/>
              <w:jc w:val="right"/>
              <w:rPr>
                <w:rFonts w:hint="default" w:ascii="Times New Roman" w:hAnsi="Times New Roman" w:cs="Times New Roman"/>
                <w:color w:val="auto"/>
                <w:sz w:val="24"/>
                <w:highlight w:val="none"/>
                <w:u w:val="single"/>
              </w:rPr>
            </w:pPr>
          </w:p>
        </w:tc>
        <w:tc>
          <w:tcPr>
            <w:tcW w:w="1941" w:type="dxa"/>
            <w:vAlign w:val="center"/>
          </w:tcPr>
          <w:p>
            <w:pPr>
              <w:keepNext w:val="0"/>
              <w:keepLines w:val="0"/>
              <w:suppressLineNumbers w:val="0"/>
              <w:shd w:val="clear"/>
              <w:spacing w:before="0" w:beforeAutospacing="0" w:after="0" w:afterAutospacing="0" w:line="400" w:lineRule="exact"/>
              <w:ind w:left="0" w:right="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rPr>
              <w:t>文明施工、安全生产保证体系及保证措施</w:t>
            </w:r>
          </w:p>
        </w:tc>
        <w:tc>
          <w:tcPr>
            <w:tcW w:w="787" w:type="dxa"/>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eastAsia="宋体" w:cs="Times New Roman"/>
                <w:color w:val="auto"/>
                <w:kern w:val="2"/>
                <w:sz w:val="24"/>
                <w:szCs w:val="24"/>
                <w:highlight w:val="none"/>
                <w:u w:val="single"/>
                <w:lang w:val="en-US" w:eastAsia="zh-CN" w:bidi="ar-SA"/>
              </w:rPr>
            </w:pP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分</w:t>
            </w:r>
          </w:p>
        </w:tc>
        <w:tc>
          <w:tcPr>
            <w:tcW w:w="3620" w:type="dxa"/>
            <w:vAlign w:val="center"/>
          </w:tcPr>
          <w:p>
            <w:pPr>
              <w:keepNext w:val="0"/>
              <w:keepLines w:val="0"/>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（1）文明施工、安全生产保证体系及保证措施满足工程基本要求，得</w:t>
            </w:r>
            <w:r>
              <w:rPr>
                <w:rFonts w:hint="default"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分；</w:t>
            </w:r>
          </w:p>
          <w:p>
            <w:pPr>
              <w:keepNext w:val="0"/>
              <w:keepLines w:val="0"/>
              <w:suppressLineNumbers w:val="0"/>
              <w:shd w:val="clear"/>
              <w:spacing w:before="0" w:beforeAutospacing="0" w:after="0" w:afterAutospacing="0" w:line="400" w:lineRule="exact"/>
              <w:ind w:left="0" w:right="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rPr>
              <w:t>（2）切实可行且合理科学的，酌情加分，本项最高得</w:t>
            </w: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789" w:type="dxa"/>
            <w:gridSpan w:val="2"/>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938" w:type="dxa"/>
            <w:gridSpan w:val="2"/>
            <w:vMerge w:val="continue"/>
            <w:vAlign w:val="center"/>
          </w:tcPr>
          <w:p>
            <w:pPr>
              <w:keepNext w:val="0"/>
              <w:keepLines w:val="0"/>
              <w:suppressLineNumbers w:val="0"/>
              <w:shd w:val="clear"/>
              <w:spacing w:before="0" w:beforeAutospacing="0" w:after="0" w:afterAutospacing="0" w:line="400" w:lineRule="exact"/>
              <w:ind w:left="0" w:right="0"/>
              <w:jc w:val="right"/>
              <w:rPr>
                <w:rFonts w:hint="default" w:ascii="Times New Roman" w:hAnsi="Times New Roman" w:cs="Times New Roman"/>
                <w:b/>
                <w:color w:val="auto"/>
                <w:sz w:val="24"/>
                <w:highlight w:val="none"/>
              </w:rPr>
            </w:pPr>
          </w:p>
        </w:tc>
        <w:tc>
          <w:tcPr>
            <w:tcW w:w="1941" w:type="dxa"/>
            <w:vAlign w:val="center"/>
          </w:tcPr>
          <w:p>
            <w:pPr>
              <w:keepNext w:val="0"/>
              <w:keepLines w:val="0"/>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项目风险预测与防范，事故应急预案</w:t>
            </w:r>
          </w:p>
        </w:tc>
        <w:tc>
          <w:tcPr>
            <w:tcW w:w="787" w:type="dxa"/>
            <w:vAlign w:val="center"/>
          </w:tcPr>
          <w:p>
            <w:pPr>
              <w:keepNext w:val="0"/>
              <w:keepLines w:val="0"/>
              <w:suppressLineNumbers w:val="0"/>
              <w:shd w:val="clear"/>
              <w:spacing w:before="0" w:beforeAutospacing="0" w:after="0" w:afterAutospacing="0" w:line="400" w:lineRule="exact"/>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分</w:t>
            </w:r>
          </w:p>
        </w:tc>
        <w:tc>
          <w:tcPr>
            <w:tcW w:w="3620" w:type="dxa"/>
            <w:vAlign w:val="center"/>
          </w:tcPr>
          <w:p>
            <w:pPr>
              <w:keepNext w:val="0"/>
              <w:keepLines w:val="0"/>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（1）项目风险预测与防范，事故应急预案满足工程基本要求，得</w:t>
            </w:r>
            <w:r>
              <w:rPr>
                <w:rFonts w:hint="default"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分；</w:t>
            </w:r>
          </w:p>
          <w:p>
            <w:pPr>
              <w:keepNext w:val="0"/>
              <w:keepLines w:val="0"/>
              <w:suppressLineNumbers w:val="0"/>
              <w:shd w:val="clear"/>
              <w:spacing w:before="0" w:beforeAutospacing="0" w:after="0" w:afterAutospacing="0" w:line="400" w:lineRule="exact"/>
              <w:ind w:left="0" w:leftChars="0" w:right="0" w:right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（2）切实可行且合理科学的，酌情加分，本项最高得</w:t>
            </w: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789" w:type="dxa"/>
            <w:gridSpan w:val="2"/>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938" w:type="dxa"/>
            <w:gridSpan w:val="2"/>
            <w:vMerge w:val="continue"/>
            <w:vAlign w:val="center"/>
          </w:tcPr>
          <w:p>
            <w:pPr>
              <w:keepNext w:val="0"/>
              <w:keepLines w:val="0"/>
              <w:suppressLineNumbers w:val="0"/>
              <w:shd w:val="clear"/>
              <w:spacing w:before="0" w:beforeAutospacing="0" w:after="0" w:afterAutospacing="0" w:line="400" w:lineRule="exact"/>
              <w:ind w:left="0" w:right="0"/>
              <w:jc w:val="right"/>
              <w:rPr>
                <w:rFonts w:hint="default" w:ascii="Times New Roman" w:hAnsi="Times New Roman" w:cs="Times New Roman"/>
                <w:b/>
                <w:color w:val="auto"/>
                <w:sz w:val="24"/>
                <w:highlight w:val="none"/>
              </w:rPr>
            </w:pPr>
          </w:p>
        </w:tc>
        <w:tc>
          <w:tcPr>
            <w:tcW w:w="1941" w:type="dxa"/>
            <w:vAlign w:val="center"/>
          </w:tcPr>
          <w:p>
            <w:pPr>
              <w:keepNext w:val="0"/>
              <w:keepLines w:val="0"/>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缺陷责任期工作方案、管理体系及质量保证措施</w:t>
            </w:r>
          </w:p>
        </w:tc>
        <w:tc>
          <w:tcPr>
            <w:tcW w:w="787" w:type="dxa"/>
            <w:vAlign w:val="center"/>
          </w:tcPr>
          <w:p>
            <w:pPr>
              <w:keepNext w:val="0"/>
              <w:keepLines w:val="0"/>
              <w:suppressLineNumbers w:val="0"/>
              <w:shd w:val="clear"/>
              <w:spacing w:before="0" w:beforeAutospacing="0" w:after="0" w:afterAutospacing="0" w:line="400" w:lineRule="exact"/>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分</w:t>
            </w:r>
          </w:p>
        </w:tc>
        <w:tc>
          <w:tcPr>
            <w:tcW w:w="3620" w:type="dxa"/>
            <w:vAlign w:val="center"/>
          </w:tcPr>
          <w:p>
            <w:pPr>
              <w:keepNext w:val="0"/>
              <w:keepLines w:val="0"/>
              <w:numPr>
                <w:ilvl w:val="0"/>
                <w:numId w:val="2"/>
              </w:numPr>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缺陷责任期工作方案、管理体系及保证措施满足工程基本要求，得</w:t>
            </w:r>
            <w:r>
              <w:rPr>
                <w:rFonts w:hint="default" w:ascii="Times New Roman" w:hAnsi="Times New Roman" w:cs="Times New Roman"/>
                <w:color w:val="auto"/>
                <w:sz w:val="24"/>
                <w:highlight w:val="none"/>
                <w:lang w:val="en-US" w:eastAsia="zh-CN"/>
              </w:rPr>
              <w:t>1.2</w:t>
            </w:r>
            <w:r>
              <w:rPr>
                <w:rFonts w:hint="default" w:ascii="Times New Roman" w:hAnsi="Times New Roman" w:cs="Times New Roman"/>
                <w:color w:val="auto"/>
                <w:sz w:val="24"/>
                <w:highlight w:val="none"/>
              </w:rPr>
              <w:t>分；</w:t>
            </w:r>
          </w:p>
          <w:p>
            <w:pPr>
              <w:keepNext w:val="0"/>
              <w:keepLines w:val="0"/>
              <w:numPr>
                <w:ilvl w:val="0"/>
                <w:numId w:val="2"/>
              </w:numPr>
              <w:suppressLineNumbers w:val="0"/>
              <w:shd w:val="clear"/>
              <w:spacing w:before="0" w:beforeAutospacing="0" w:after="0" w:afterAutospacing="0" w:line="400" w:lineRule="exact"/>
              <w:ind w:left="0" w:leftChars="0" w:right="0" w:right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切实可行且合理科学的，酌情加分，本项最高得</w:t>
            </w:r>
            <w:r>
              <w:rPr>
                <w:rFonts w:hint="default"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pPr>
              <w:keepNext w:val="0"/>
              <w:keepLines w:val="0"/>
              <w:suppressLineNumbers w:val="0"/>
              <w:shd w:val="clear"/>
              <w:spacing w:before="0" w:beforeAutospacing="0" w:after="0" w:afterAutospacing="0" w:line="400" w:lineRule="exact"/>
              <w:ind w:left="-92" w:leftChars="-44" w:right="-88" w:rightChars="-42"/>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2.2.2（2）</w:t>
            </w:r>
          </w:p>
        </w:tc>
        <w:tc>
          <w:tcPr>
            <w:tcW w:w="789" w:type="dxa"/>
            <w:gridSpan w:val="2"/>
            <w:vMerge w:val="restart"/>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主要人员</w:t>
            </w:r>
          </w:p>
        </w:tc>
        <w:tc>
          <w:tcPr>
            <w:tcW w:w="938" w:type="dxa"/>
            <w:gridSpan w:val="2"/>
            <w:vMerge w:val="restart"/>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35</w:t>
            </w:r>
            <w:r>
              <w:rPr>
                <w:rFonts w:hint="default" w:ascii="Times New Roman" w:hAnsi="Times New Roman" w:cs="Times New Roman"/>
                <w:color w:val="auto"/>
                <w:sz w:val="24"/>
                <w:highlight w:val="none"/>
              </w:rPr>
              <w:t>分</w:t>
            </w:r>
          </w:p>
        </w:tc>
        <w:tc>
          <w:tcPr>
            <w:tcW w:w="1941" w:type="dxa"/>
            <w:vAlign w:val="center"/>
          </w:tcPr>
          <w:p>
            <w:pPr>
              <w:keepNext w:val="0"/>
              <w:keepLines w:val="0"/>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项目经理任职资格与业绩</w:t>
            </w:r>
          </w:p>
        </w:tc>
        <w:tc>
          <w:tcPr>
            <w:tcW w:w="787" w:type="dxa"/>
            <w:vAlign w:val="center"/>
          </w:tcPr>
          <w:p>
            <w:pPr>
              <w:keepNext w:val="0"/>
              <w:keepLines w:val="0"/>
              <w:suppressLineNumbers w:val="0"/>
              <w:shd w:val="clear"/>
              <w:spacing w:before="0" w:beforeAutospacing="0" w:after="0" w:afterAutospacing="0" w:line="400" w:lineRule="exact"/>
              <w:ind w:left="0" w:right="0"/>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2</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分</w:t>
            </w:r>
          </w:p>
        </w:tc>
        <w:tc>
          <w:tcPr>
            <w:tcW w:w="3620" w:type="dxa"/>
            <w:vAlign w:val="center"/>
          </w:tcPr>
          <w:p>
            <w:pPr>
              <w:keepNext w:val="0"/>
              <w:keepLines w:val="0"/>
              <w:numPr>
                <w:ilvl w:val="0"/>
                <w:numId w:val="0"/>
              </w:numPr>
              <w:suppressLineNumbers w:val="0"/>
              <w:shd w:val="clear"/>
              <w:spacing w:before="0" w:beforeAutospacing="0" w:after="0" w:afterAutospacing="0" w:line="400" w:lineRule="exact"/>
              <w:ind w:left="0" w:right="0" w:right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满足资格审查标准得</w:t>
            </w:r>
            <w:r>
              <w:rPr>
                <w:rFonts w:hint="eastAsia" w:ascii="Times New Roman" w:hAnsi="Times New Roman" w:cs="Times New Roman"/>
                <w:color w:val="auto"/>
                <w:sz w:val="24"/>
                <w:highlight w:val="none"/>
                <w:lang w:val="en-US" w:eastAsia="zh-CN"/>
              </w:rPr>
              <w:t>12</w:t>
            </w:r>
            <w:r>
              <w:rPr>
                <w:rFonts w:hint="default" w:ascii="Times New Roman" w:hAnsi="Times New Roman" w:cs="Times New Roman"/>
                <w:color w:val="auto"/>
                <w:sz w:val="24"/>
                <w:highlight w:val="none"/>
              </w:rPr>
              <w:t>分；</w:t>
            </w:r>
          </w:p>
          <w:p>
            <w:pPr>
              <w:keepNext w:val="0"/>
              <w:keepLines w:val="0"/>
              <w:numPr>
                <w:ilvl w:val="0"/>
                <w:numId w:val="0"/>
              </w:numPr>
              <w:suppressLineNumbers w:val="0"/>
              <w:shd w:val="clear"/>
              <w:spacing w:before="0" w:beforeAutospacing="0" w:after="0" w:afterAutospacing="0" w:line="400" w:lineRule="exact"/>
              <w:ind w:left="0" w:right="0" w:rightChars="0"/>
              <w:rPr>
                <w:rFonts w:hint="default" w:ascii="Times New Roman" w:hAnsi="Times New Roman" w:cs="Times New Roman"/>
                <w:color w:val="auto"/>
                <w:highlight w:val="none"/>
                <w:lang w:val="en-US"/>
              </w:rPr>
            </w:pP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在满足资格审查标准的基础上，每</w:t>
            </w:r>
            <w:r>
              <w:rPr>
                <w:rFonts w:hint="default" w:ascii="Times New Roman" w:hAnsi="Times New Roman" w:cs="Times New Roman"/>
                <w:color w:val="auto"/>
                <w:sz w:val="24"/>
                <w:highlight w:val="none"/>
                <w:lang w:val="en-US" w:eastAsia="zh-CN"/>
              </w:rPr>
              <w:t>增加</w:t>
            </w:r>
            <w:r>
              <w:rPr>
                <w:rFonts w:hint="default" w:ascii="Times New Roman" w:hAnsi="Times New Roman" w:cs="Times New Roman"/>
                <w:color w:val="auto"/>
                <w:sz w:val="24"/>
                <w:highlight w:val="none"/>
              </w:rPr>
              <w:t>1项</w:t>
            </w:r>
            <w:r>
              <w:rPr>
                <w:rFonts w:hint="default" w:ascii="Times New Roman" w:hAnsi="Times New Roman" w:cs="Times New Roman"/>
                <w:color w:val="auto"/>
                <w:sz w:val="24"/>
                <w:highlight w:val="none"/>
                <w:lang w:val="en-US" w:eastAsia="zh-CN"/>
              </w:rPr>
              <w:t>符合资格审查条件</w:t>
            </w:r>
            <w:r>
              <w:rPr>
                <w:rFonts w:hint="default" w:ascii="Times New Roman" w:hAnsi="Times New Roman" w:cs="Times New Roman"/>
                <w:color w:val="auto"/>
                <w:sz w:val="24"/>
                <w:highlight w:val="none"/>
              </w:rPr>
              <w:t>的项目经理</w:t>
            </w:r>
            <w:r>
              <w:rPr>
                <w:rFonts w:hint="default" w:ascii="Times New Roman" w:hAnsi="Times New Roman" w:cs="Times New Roman"/>
                <w:color w:val="auto"/>
                <w:sz w:val="24"/>
                <w:highlight w:val="none"/>
                <w:lang w:val="en-US" w:eastAsia="zh-CN"/>
              </w:rPr>
              <w:t>或项目副经理</w:t>
            </w:r>
            <w:r>
              <w:rPr>
                <w:rFonts w:hint="default" w:ascii="Times New Roman" w:hAnsi="Times New Roman" w:cs="Times New Roman"/>
                <w:color w:val="auto"/>
                <w:sz w:val="24"/>
                <w:highlight w:val="none"/>
              </w:rPr>
              <w:t>业绩加</w:t>
            </w: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分，最高加</w:t>
            </w:r>
            <w:r>
              <w:rPr>
                <w:rFonts w:hint="eastAsia"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分</w:t>
            </w:r>
            <w:r>
              <w:rPr>
                <w:rFonts w:hint="eastAsia" w:ascii="Times New Roman" w:hAnsi="Times New Roman" w:cs="Times New Roman"/>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6" w:type="dxa"/>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789" w:type="dxa"/>
            <w:gridSpan w:val="2"/>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938" w:type="dxa"/>
            <w:gridSpan w:val="2"/>
            <w:vMerge w:val="continue"/>
            <w:vAlign w:val="center"/>
          </w:tcPr>
          <w:p>
            <w:pPr>
              <w:keepNext w:val="0"/>
              <w:keepLines w:val="0"/>
              <w:suppressLineNumbers w:val="0"/>
              <w:shd w:val="clear"/>
              <w:spacing w:before="0" w:beforeAutospacing="0" w:after="0" w:afterAutospacing="0" w:line="400" w:lineRule="exact"/>
              <w:ind w:left="0" w:right="0"/>
              <w:jc w:val="right"/>
              <w:rPr>
                <w:rFonts w:hint="default" w:ascii="Times New Roman" w:hAnsi="Times New Roman" w:cs="Times New Roman"/>
                <w:b/>
                <w:color w:val="auto"/>
                <w:sz w:val="24"/>
                <w:highlight w:val="none"/>
              </w:rPr>
            </w:pPr>
          </w:p>
        </w:tc>
        <w:tc>
          <w:tcPr>
            <w:tcW w:w="1941" w:type="dxa"/>
            <w:vAlign w:val="center"/>
          </w:tcPr>
          <w:p>
            <w:pPr>
              <w:keepNext w:val="0"/>
              <w:keepLines w:val="0"/>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项目总工任职资格与业绩</w:t>
            </w:r>
          </w:p>
        </w:tc>
        <w:tc>
          <w:tcPr>
            <w:tcW w:w="787" w:type="dxa"/>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分</w:t>
            </w:r>
          </w:p>
        </w:tc>
        <w:tc>
          <w:tcPr>
            <w:tcW w:w="3620" w:type="dxa"/>
            <w:vAlign w:val="center"/>
          </w:tcPr>
          <w:p>
            <w:pPr>
              <w:keepNext w:val="0"/>
              <w:keepLines w:val="0"/>
              <w:numPr>
                <w:ilvl w:val="0"/>
                <w:numId w:val="3"/>
              </w:numPr>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满足资格审查标准得</w:t>
            </w:r>
            <w:r>
              <w:rPr>
                <w:rFonts w:hint="eastAsia" w:ascii="Times New Roman" w:hAnsi="Times New Roman" w:cs="Times New Roman"/>
                <w:color w:val="auto"/>
                <w:sz w:val="24"/>
                <w:highlight w:val="none"/>
                <w:lang w:val="en-US" w:eastAsia="zh-CN"/>
              </w:rPr>
              <w:t>9</w:t>
            </w:r>
            <w:r>
              <w:rPr>
                <w:rFonts w:hint="default" w:ascii="Times New Roman" w:hAnsi="Times New Roman" w:cs="Times New Roman"/>
                <w:color w:val="auto"/>
                <w:sz w:val="24"/>
                <w:highlight w:val="none"/>
              </w:rPr>
              <w:t>分；</w:t>
            </w:r>
          </w:p>
          <w:p>
            <w:pPr>
              <w:keepNext w:val="0"/>
              <w:keepLines w:val="0"/>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（2）在满足资格审查标准的基础上，每</w:t>
            </w:r>
            <w:r>
              <w:rPr>
                <w:rFonts w:hint="default" w:ascii="Times New Roman" w:hAnsi="Times New Roman" w:cs="Times New Roman"/>
                <w:color w:val="auto"/>
                <w:sz w:val="24"/>
                <w:highlight w:val="none"/>
                <w:lang w:val="en-US" w:eastAsia="zh-CN"/>
              </w:rPr>
              <w:t>增加</w:t>
            </w:r>
            <w:r>
              <w:rPr>
                <w:rFonts w:hint="default" w:ascii="Times New Roman" w:hAnsi="Times New Roman" w:cs="Times New Roman"/>
                <w:color w:val="auto"/>
                <w:sz w:val="24"/>
                <w:highlight w:val="none"/>
              </w:rPr>
              <w:t>1项</w:t>
            </w:r>
            <w:r>
              <w:rPr>
                <w:rFonts w:hint="default" w:ascii="Times New Roman" w:hAnsi="Times New Roman" w:cs="Times New Roman"/>
                <w:color w:val="auto"/>
                <w:sz w:val="24"/>
                <w:highlight w:val="none"/>
                <w:lang w:val="en-US" w:eastAsia="zh-CN"/>
              </w:rPr>
              <w:t>符合资格审查条件</w:t>
            </w:r>
            <w:r>
              <w:rPr>
                <w:rFonts w:hint="default" w:ascii="Times New Roman" w:hAnsi="Times New Roman" w:cs="Times New Roman"/>
                <w:color w:val="auto"/>
                <w:sz w:val="24"/>
                <w:highlight w:val="none"/>
              </w:rPr>
              <w:t>的项目总工</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或技术负责人或项目副总工</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业绩加</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分，最高加</w:t>
            </w: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分</w:t>
            </w:r>
            <w:r>
              <w:rPr>
                <w:rFonts w:hint="default" w:ascii="Times New Roman" w:hAnsi="Times New Roman" w:cs="Times New Roman"/>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6" w:type="dxa"/>
            <w:vMerge w:val="restart"/>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2.2.2（3）</w:t>
            </w:r>
          </w:p>
        </w:tc>
        <w:tc>
          <w:tcPr>
            <w:tcW w:w="789" w:type="dxa"/>
            <w:gridSpan w:val="2"/>
            <w:vMerge w:val="restart"/>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其他因素</w:t>
            </w:r>
          </w:p>
        </w:tc>
        <w:tc>
          <w:tcPr>
            <w:tcW w:w="938" w:type="dxa"/>
            <w:gridSpan w:val="2"/>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技术</w:t>
            </w:r>
          </w:p>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能力</w:t>
            </w:r>
          </w:p>
        </w:tc>
        <w:tc>
          <w:tcPr>
            <w:tcW w:w="1941" w:type="dxa"/>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10分</w:t>
            </w:r>
          </w:p>
        </w:tc>
        <w:tc>
          <w:tcPr>
            <w:tcW w:w="4407" w:type="dxa"/>
            <w:gridSpan w:val="2"/>
            <w:vAlign w:val="center"/>
          </w:tcPr>
          <w:p>
            <w:pPr>
              <w:keepNext w:val="0"/>
              <w:keepLines w:val="0"/>
              <w:numPr>
                <w:ilvl w:val="0"/>
                <w:numId w:val="0"/>
              </w:numPr>
              <w:suppressLineNumbers w:val="0"/>
              <w:shd w:val="clear"/>
              <w:spacing w:before="0" w:beforeAutospacing="0" w:after="0" w:afterAutospacing="0" w:line="400" w:lineRule="exact"/>
              <w:ind w:left="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投标人通过资格评审</w:t>
            </w:r>
            <w:r>
              <w:rPr>
                <w:rFonts w:hint="eastAsia" w:ascii="Times New Roman" w:hAnsi="Times New Roman" w:cs="Times New Roman"/>
                <w:color w:val="auto"/>
                <w:sz w:val="24"/>
                <w:highlight w:val="none"/>
                <w:lang w:val="en-US" w:eastAsia="zh-CN"/>
              </w:rPr>
              <w:t>的，</w:t>
            </w:r>
            <w:r>
              <w:rPr>
                <w:rFonts w:hint="default" w:ascii="Times New Roman" w:hAnsi="Times New Roman" w:cs="Times New Roman"/>
                <w:color w:val="auto"/>
                <w:sz w:val="24"/>
                <w:highlight w:val="none"/>
              </w:rPr>
              <w:t>得</w:t>
            </w:r>
            <w:r>
              <w:rPr>
                <w:rFonts w:hint="eastAsia" w:ascii="Times New Roman" w:hAnsi="Times New Roman" w:cs="Times New Roman"/>
                <w:color w:val="auto"/>
                <w:sz w:val="24"/>
                <w:highlight w:val="none"/>
                <w:lang w:val="en-US" w:eastAsia="zh-CN"/>
              </w:rPr>
              <w:t>10</w:t>
            </w:r>
            <w:r>
              <w:rPr>
                <w:rFonts w:hint="default" w:ascii="Times New Roman" w:hAnsi="Times New Roman" w:cs="Times New Roman"/>
                <w:color w:val="auto"/>
                <w:sz w:val="24"/>
                <w:highlight w:val="none"/>
              </w:rPr>
              <w:t>分</w:t>
            </w:r>
            <w:r>
              <w:rPr>
                <w:rFonts w:hint="eastAsia" w:ascii="Times New Roman" w:hAnsi="Times New Roman" w:cs="Times New Roman"/>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789" w:type="dxa"/>
            <w:gridSpan w:val="2"/>
            <w:vMerge w:val="continue"/>
            <w:vAlign w:val="center"/>
          </w:tcPr>
          <w:p>
            <w:pPr>
              <w:keepNext w:val="0"/>
              <w:keepLines w:val="0"/>
              <w:suppressLineNumbers w:val="0"/>
              <w:shd w:val="clear"/>
              <w:spacing w:before="0" w:beforeAutospacing="0" w:after="0" w:afterAutospacing="0" w:line="400" w:lineRule="exact"/>
              <w:ind w:left="-105" w:leftChars="-50" w:right="-105" w:rightChars="-50"/>
              <w:jc w:val="center"/>
              <w:rPr>
                <w:rFonts w:hint="default" w:ascii="Times New Roman" w:hAnsi="Times New Roman" w:cs="Times New Roman"/>
                <w:color w:val="auto"/>
                <w:sz w:val="24"/>
                <w:highlight w:val="none"/>
              </w:rPr>
            </w:pPr>
          </w:p>
        </w:tc>
        <w:tc>
          <w:tcPr>
            <w:tcW w:w="938" w:type="dxa"/>
            <w:gridSpan w:val="2"/>
            <w:vAlign w:val="center"/>
          </w:tcPr>
          <w:p>
            <w:pPr>
              <w:keepNext w:val="0"/>
              <w:keepLines w:val="0"/>
              <w:suppressLineNumbers w:val="0"/>
              <w:shd w:val="clear"/>
              <w:spacing w:before="0" w:beforeAutospacing="0" w:after="0" w:afterAutospacing="0" w:line="400" w:lineRule="exact"/>
              <w:ind w:left="-105" w:leftChars="-50" w:right="-105" w:rightChars="-5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履约</w:t>
            </w:r>
          </w:p>
          <w:p>
            <w:pPr>
              <w:keepNext w:val="0"/>
              <w:keepLines w:val="0"/>
              <w:suppressLineNumbers w:val="0"/>
              <w:shd w:val="clear"/>
              <w:spacing w:before="0" w:beforeAutospacing="0" w:after="0" w:afterAutospacing="0" w:line="400" w:lineRule="exact"/>
              <w:ind w:left="-105" w:leftChars="-50" w:right="-105" w:rightChars="-5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信誉</w:t>
            </w:r>
          </w:p>
        </w:tc>
        <w:tc>
          <w:tcPr>
            <w:tcW w:w="1941" w:type="dxa"/>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15</w:t>
            </w:r>
            <w:r>
              <w:rPr>
                <w:rFonts w:hint="default" w:ascii="Times New Roman" w:hAnsi="Times New Roman" w:cs="Times New Roman"/>
                <w:color w:val="auto"/>
                <w:sz w:val="24"/>
                <w:highlight w:val="none"/>
              </w:rPr>
              <w:t>分</w:t>
            </w:r>
          </w:p>
        </w:tc>
        <w:tc>
          <w:tcPr>
            <w:tcW w:w="4407" w:type="dxa"/>
            <w:gridSpan w:val="2"/>
            <w:vAlign w:val="top"/>
          </w:tcPr>
          <w:p>
            <w:pPr>
              <w:pStyle w:val="3"/>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在2022年度陕西省公路养护施工单位信用评价结果中评为“A”或“AA”或得15分；评为“B”得12分；评为“C”得9分。</w:t>
            </w:r>
          </w:p>
          <w:p>
            <w:pPr>
              <w:pStyle w:val="3"/>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sz w:val="24"/>
                <w:szCs w:val="24"/>
                <w:highlight w:val="none"/>
                <w:lang w:val="en-US" w:eastAsia="zh-CN"/>
              </w:rPr>
              <w:t>投标人在2022年度陕西省公路养护施工单位信用评价结果中结果中尚未取得信用评价的投标人，若无不良信用记录，可按A级对待。若有不良信用记录，视其严重程度按B级及以下对待。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1" w:type="dxa"/>
            <w:gridSpan w:val="8"/>
            <w:vAlign w:val="center"/>
          </w:tcPr>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需要补充的其他内容：</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bl>
    <w:p>
      <w:pPr>
        <w:shd w:val="clear"/>
        <w:spacing w:line="360" w:lineRule="auto"/>
        <w:ind w:firstLine="480" w:firstLineChars="200"/>
        <w:rPr>
          <w:rFonts w:hint="default" w:ascii="Times New Roman" w:hAnsi="Times New Roman" w:cs="Times New Roman"/>
          <w:sz w:val="24"/>
          <w:highlight w:val="none"/>
        </w:rPr>
      </w:pPr>
    </w:p>
    <w:p>
      <w:pPr>
        <w:shd w:val="clear"/>
        <w:spacing w:before="120" w:beforeLines="50" w:line="400" w:lineRule="exact"/>
        <w:jc w:val="center"/>
        <w:rPr>
          <w:rFonts w:hint="default" w:ascii="Times New Roman" w:hAnsi="Times New Roman" w:eastAsia="黑体" w:cs="Times New Roman"/>
          <w:sz w:val="28"/>
          <w:szCs w:val="28"/>
          <w:highlight w:val="none"/>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spacing w:line="320" w:lineRule="atLeast"/>
        <w:ind w:left="180" w:hanging="180" w:hangingChars="100"/>
        <w:jc w:val="both"/>
        <w:rPr>
          <w:szCs w:val="18"/>
        </w:rPr>
      </w:pPr>
      <w:r>
        <w:rPr>
          <w:rStyle w:val="8"/>
          <w:szCs w:val="18"/>
        </w:rPr>
        <w:footnoteRef/>
      </w:r>
      <w:r>
        <w:rPr>
          <w:rFonts w:hint="eastAsia"/>
          <w:szCs w:val="18"/>
        </w:rPr>
        <w:t xml:space="preserve"> </w:t>
      </w:r>
      <w:r>
        <w:rPr>
          <w:szCs w:val="18"/>
        </w:rPr>
        <w:t>各</w:t>
      </w:r>
      <w:r>
        <w:rPr>
          <w:rFonts w:hint="eastAsia"/>
          <w:szCs w:val="18"/>
        </w:rPr>
        <w:t>评分因素（</w:t>
      </w:r>
      <w:r>
        <w:rPr>
          <w:szCs w:val="18"/>
        </w:rPr>
        <w:t>评标价和履约信誉评分项除外</w:t>
      </w:r>
      <w:r>
        <w:rPr>
          <w:rFonts w:hint="eastAsia"/>
          <w:szCs w:val="18"/>
        </w:rPr>
        <w:t>）</w:t>
      </w:r>
      <w:r>
        <w:rPr>
          <w:szCs w:val="18"/>
        </w:rPr>
        <w:t>得分</w:t>
      </w:r>
      <w:r>
        <w:rPr>
          <w:rFonts w:hint="eastAsia"/>
          <w:szCs w:val="18"/>
        </w:rPr>
        <w:t>一般不得</w:t>
      </w:r>
      <w:r>
        <w:rPr>
          <w:szCs w:val="18"/>
        </w:rPr>
        <w:t>低于其权重分</w:t>
      </w:r>
      <w:r>
        <w:rPr>
          <w:rFonts w:hint="eastAsia"/>
          <w:szCs w:val="18"/>
        </w:rPr>
        <w:t>值</w:t>
      </w:r>
      <w:r>
        <w:rPr>
          <w:szCs w:val="18"/>
        </w:rPr>
        <w:t>的60%，且各</w:t>
      </w:r>
      <w:r>
        <w:rPr>
          <w:rFonts w:hint="eastAsia"/>
          <w:szCs w:val="18"/>
        </w:rPr>
        <w:t>评分因素</w:t>
      </w:r>
      <w:r>
        <w:rPr>
          <w:szCs w:val="18"/>
        </w:rPr>
        <w:t>得分应以评标委员会</w:t>
      </w:r>
      <w:r>
        <w:rPr>
          <w:rFonts w:hint="eastAsia"/>
          <w:szCs w:val="18"/>
        </w:rPr>
        <w:t>各成员</w:t>
      </w:r>
      <w:r>
        <w:rPr>
          <w:szCs w:val="18"/>
        </w:rPr>
        <w:t>的打分平均值确定，</w:t>
      </w:r>
      <w:r>
        <w:rPr>
          <w:rFonts w:hint="eastAsia"/>
          <w:szCs w:val="18"/>
        </w:rPr>
        <w:t>评标委员会成员总数为7人及以上时，</w:t>
      </w:r>
      <w:r>
        <w:rPr>
          <w:szCs w:val="18"/>
        </w:rPr>
        <w:t>该平均值以去掉一个最高分和一个最低分后计算。评标委员会成员</w:t>
      </w:r>
      <w:r>
        <w:rPr>
          <w:rFonts w:hint="eastAsia"/>
          <w:szCs w:val="18"/>
        </w:rPr>
        <w:t>对某一项评分因素的</w:t>
      </w:r>
      <w:r>
        <w:rPr>
          <w:szCs w:val="18"/>
        </w:rPr>
        <w:t>评分低于权重分</w:t>
      </w:r>
      <w:r>
        <w:rPr>
          <w:rFonts w:hint="eastAsia"/>
          <w:szCs w:val="18"/>
        </w:rPr>
        <w:t>值</w:t>
      </w:r>
      <w:r>
        <w:rPr>
          <w:szCs w:val="18"/>
        </w:rPr>
        <w:t>60%的，应在评标报告中作出说明。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395639"/>
    <w:multiLevelType w:val="singleLevel"/>
    <w:tmpl w:val="59395639"/>
    <w:lvl w:ilvl="0" w:tentative="0">
      <w:start w:val="1"/>
      <w:numFmt w:val="decimal"/>
      <w:suff w:val="nothing"/>
      <w:lvlText w:val="（%1）"/>
      <w:lvlJc w:val="left"/>
    </w:lvl>
  </w:abstractNum>
  <w:abstractNum w:abstractNumId="1">
    <w:nsid w:val="593956AA"/>
    <w:multiLevelType w:val="singleLevel"/>
    <w:tmpl w:val="593956AA"/>
    <w:lvl w:ilvl="0" w:tentative="0">
      <w:start w:val="1"/>
      <w:numFmt w:val="decimal"/>
      <w:suff w:val="nothing"/>
      <w:lvlText w:val="（%1）"/>
      <w:lvlJc w:val="left"/>
    </w:lvl>
  </w:abstractNum>
  <w:abstractNum w:abstractNumId="2">
    <w:nsid w:val="5E79BC83"/>
    <w:multiLevelType w:val="singleLevel"/>
    <w:tmpl w:val="5E79BC83"/>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lZDkyZDgzNTBlNjRiYmI1MjA0Y2Y4YTZlMDE3MTkifQ=="/>
  </w:docVars>
  <w:rsids>
    <w:rsidRoot w:val="00000000"/>
    <w:rsid w:val="0BFC17D8"/>
    <w:rsid w:val="32BD4DCE"/>
    <w:rsid w:val="366D771A"/>
    <w:rsid w:val="64C925E4"/>
    <w:rsid w:val="6FA8333C"/>
    <w:rsid w:val="FE9D8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9" w:lineRule="auto"/>
      <w:outlineLvl w:val="1"/>
    </w:pPr>
    <w:rPr>
      <w:rFonts w:ascii="Times New Roman" w:hAnsi="Times New Roman" w:eastAsia="宋体"/>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footnote text"/>
    <w:basedOn w:val="1"/>
    <w:qFormat/>
    <w:uiPriority w:val="0"/>
    <w:pPr>
      <w:adjustRightInd w:val="0"/>
      <w:snapToGrid w:val="0"/>
      <w:spacing w:line="420" w:lineRule="atLeast"/>
      <w:ind w:firstLine="454"/>
      <w:jc w:val="left"/>
      <w:textAlignment w:val="baseline"/>
    </w:pPr>
    <w:rPr>
      <w:kern w:val="0"/>
      <w:sz w:val="18"/>
      <w:szCs w:val="20"/>
    </w:rPr>
  </w:style>
  <w:style w:type="character" w:styleId="8">
    <w:name w:val="footnote reference"/>
    <w:qFormat/>
    <w:uiPriority w:val="0"/>
    <w:rPr>
      <w:vertAlign w:val="superscript"/>
    </w:rPr>
  </w:style>
  <w:style w:type="paragraph" w:styleId="9">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6109</Words>
  <Characters>6605</Characters>
  <Lines>0</Lines>
  <Paragraphs>0</Paragraphs>
  <TotalTime>0</TotalTime>
  <ScaleCrop>false</ScaleCrop>
  <LinksUpToDate>false</LinksUpToDate>
  <CharactersWithSpaces>6625</CharactersWithSpaces>
  <Application>WPS Office_11.8.2.1125_F1E327BC-269C-435d-A152-05C5408002CA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2023-04-12T09:06:00Z</dcterms:created>
  <dc:creator>zxh</dc:creator>
  <cp:lastModifiedBy>guest</cp:lastModifiedBy>
  <dcterms:modified xsi:type="dcterms:W3CDTF">2023-09-04T16:52:59Z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2052-11.8.2.1125</vt:lpwstr>
  </property>
  <property fmtid="{D5CDD505-2E9C-101B-9397-08002B2CF9AE}" pid="3" name="ICV">
    <vt:lpwstr>5B5C1995E02C1373EB9AF56446B8F1D8</vt:lpwstr>
  </property>
</Properties>
</file>