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bCs/>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346国道老县镇至蒋家坪公路工程</w:t>
      </w:r>
      <w:r>
        <w:rPr>
          <w:rFonts w:hint="eastAsia" w:asciiTheme="minorEastAsia" w:hAnsiTheme="minorEastAsia" w:eastAsiaTheme="minorEastAsia" w:cstheme="minorEastAsia"/>
          <w:b/>
          <w:bCs/>
          <w:sz w:val="32"/>
          <w:szCs w:val="32"/>
          <w:lang w:eastAsia="zh-CN"/>
        </w:rPr>
        <w:t>招标关键内容</w:t>
      </w:r>
    </w:p>
    <w:p>
      <w:pPr>
        <w:pStyle w:val="14"/>
        <w:pageBreakBefore w:val="0"/>
        <w:widowControl w:val="0"/>
        <w:kinsoku/>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sz w:val="24"/>
          <w:szCs w:val="24"/>
        </w:rPr>
      </w:pP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bCs/>
          <w:color w:val="auto"/>
          <w:sz w:val="24"/>
          <w:szCs w:val="24"/>
          <w:lang w:eastAsia="zh-CN"/>
        </w:rPr>
        <w:t>项目概况</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路线起于平利县346国道老县镇，向北基本沿旧路改建，经马安山村，止于蒋家坪村，与346国道相接，全长约2.6公里。全线采用二级公路标准建设，设计速度60公里/小时，路基宽度10米，新建桥涵设计汽车荷载等级采用公路-I级，其他各项技术指标按国家现行有关规范、规定执行。工程估算总投资为2808万元。计划工期为365天。</w:t>
      </w: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bCs/>
          <w:color w:val="auto"/>
          <w:sz w:val="24"/>
          <w:szCs w:val="24"/>
          <w:lang w:eastAsia="zh-CN"/>
        </w:rPr>
      </w:pP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宋体"/>
          <w:b w:val="0"/>
          <w:bCs w:val="0"/>
          <w:color w:val="000000"/>
          <w:sz w:val="28"/>
          <w:szCs w:val="28"/>
          <w:highlight w:val="none"/>
          <w:lang w:eastAsia="zh-CN"/>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资格要求</w:t>
      </w:r>
      <w:bookmarkStart w:id="285" w:name="_GoBack"/>
      <w:bookmarkEnd w:id="285"/>
    </w:p>
    <w:p>
      <w:pPr>
        <w:pStyle w:val="4"/>
        <w:keepNext/>
        <w:keepLines/>
        <w:pageBreakBefore w:val="0"/>
        <w:widowControl w:val="0"/>
        <w:kinsoku/>
        <w:wordWrap w:val="0"/>
        <w:overflowPunct/>
        <w:topLinePunct w:val="0"/>
        <w:autoSpaceDE/>
        <w:autoSpaceDN/>
        <w:bidi w:val="0"/>
        <w:adjustRightInd/>
        <w:snapToGrid/>
        <w:spacing w:line="440" w:lineRule="exact"/>
        <w:jc w:val="center"/>
        <w:textAlignment w:val="auto"/>
        <w:rPr>
          <w:rFonts w:hint="eastAsia" w:cs="宋体"/>
          <w:b w:val="0"/>
          <w:bCs w:val="0"/>
          <w:color w:val="000000"/>
          <w:sz w:val="28"/>
          <w:szCs w:val="28"/>
          <w:highlight w:val="none"/>
          <w:lang w:val="en-US" w:eastAsia="zh-CN"/>
        </w:rPr>
      </w:pPr>
      <w:r>
        <w:rPr>
          <w:rFonts w:hint="eastAsia" w:cs="宋体"/>
          <w:b w:val="0"/>
          <w:bCs w:val="0"/>
          <w:color w:val="000000"/>
          <w:sz w:val="28"/>
          <w:szCs w:val="28"/>
          <w:highlight w:val="none"/>
          <w:lang w:eastAsia="zh-CN"/>
        </w:rPr>
        <w:t>附录一</w:t>
      </w:r>
      <w:r>
        <w:rPr>
          <w:rFonts w:hint="eastAsia" w:cs="宋体"/>
          <w:b w:val="0"/>
          <w:bCs w:val="0"/>
          <w:color w:val="000000"/>
          <w:sz w:val="28"/>
          <w:szCs w:val="28"/>
          <w:highlight w:val="none"/>
          <w:lang w:val="en-US" w:eastAsia="zh-CN"/>
        </w:rPr>
        <w:t xml:space="preserve"> 资格审查条件（资质最低要求）</w:t>
      </w:r>
    </w:p>
    <w:tbl>
      <w:tblPr>
        <w:tblStyle w:val="20"/>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56"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b/>
                <w:bCs/>
                <w:sz w:val="22"/>
                <w:szCs w:val="28"/>
                <w:lang w:val="en-US" w:eastAsia="zh-CN"/>
              </w:rPr>
            </w:pPr>
            <w:r>
              <w:rPr>
                <w:rFonts w:hint="eastAsia" w:ascii="Times New Roman" w:eastAsia="宋体"/>
                <w:b/>
                <w:bCs/>
                <w:sz w:val="22"/>
                <w:szCs w:val="28"/>
                <w:lang w:val="en-US" w:eastAsia="zh-CN"/>
              </w:rPr>
              <w:t>标段编号</w:t>
            </w:r>
          </w:p>
        </w:tc>
        <w:tc>
          <w:tcPr>
            <w:tcW w:w="7479"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b/>
                <w:bCs/>
                <w:sz w:val="22"/>
                <w:szCs w:val="28"/>
                <w:lang w:val="en-US" w:eastAsia="zh-CN"/>
              </w:rPr>
            </w:pPr>
            <w:r>
              <w:rPr>
                <w:rFonts w:hint="eastAsia" w:ascii="Times New Roman" w:eastAsia="宋体"/>
                <w:b/>
                <w:bCs/>
                <w:sz w:val="22"/>
                <w:szCs w:val="28"/>
                <w:lang w:val="en-US" w:eastAsia="zh-C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1656"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E6109013546</w:t>
            </w:r>
          </w:p>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97ti382me001</w:t>
            </w:r>
          </w:p>
        </w:tc>
        <w:tc>
          <w:tcPr>
            <w:tcW w:w="7479" w:type="dxa"/>
            <w:vAlign w:val="center"/>
          </w:tcPr>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有效的营业执照。</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有效的安全生产许可证。</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其他要求：投标人应进入交通运输部“全国公路建设市场信用信息管理系统（http//glxy.mot.gov.cn）”中的公路工程施工资质企业名录，且投标人名称和资质与该名录中的相应企业名称和资质完全一致。</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资质证书：投标人具有建设行政主管部门颁发的公路工程施工总承包三级及以上资质。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135" w:type="dxa"/>
            <w:gridSpan w:val="2"/>
            <w:vAlign w:val="center"/>
          </w:tcPr>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说明：“投标人基本情况表”应付投标人营业执照、国家企业信用信息公示系统2022年度报告网页截图、资质证书、进入交通运输部“全国公路建设市场信用信息管理系统”公路工程施工资质企业名录网页截图、安全生产许可证、基本账户开户许可证或由其开户银行出具的基本存款账户信息。</w:t>
            </w:r>
          </w:p>
        </w:tc>
      </w:tr>
    </w:tbl>
    <w:p>
      <w:pPr>
        <w:pageBreakBefore w:val="0"/>
        <w:widowControl w:val="0"/>
        <w:kinsoku/>
        <w:overflowPunct/>
        <w:topLinePunct w:val="0"/>
        <w:autoSpaceDE/>
        <w:autoSpaceDN/>
        <w:bidi w:val="0"/>
        <w:adjustRightInd/>
        <w:spacing w:line="440" w:lineRule="exact"/>
        <w:textAlignment w:val="auto"/>
        <w:rPr>
          <w:rFonts w:hint="default"/>
          <w:lang w:val="en-US" w:eastAsia="zh-CN"/>
        </w:rPr>
      </w:pPr>
    </w:p>
    <w:p>
      <w:pPr>
        <w:pStyle w:val="7"/>
        <w:pageBreakBefore w:val="0"/>
        <w:widowControl w:val="0"/>
        <w:kinsoku/>
        <w:overflowPunct/>
        <w:topLinePunct w:val="0"/>
        <w:autoSpaceDE/>
        <w:autoSpaceDN/>
        <w:bidi w:val="0"/>
        <w:adjustRightInd/>
        <w:spacing w:line="440" w:lineRule="exact"/>
        <w:textAlignment w:val="auto"/>
        <w:rPr>
          <w:rFonts w:hint="default"/>
          <w:lang w:val="en-US" w:eastAsia="zh-CN"/>
        </w:rPr>
      </w:pPr>
    </w:p>
    <w:p>
      <w:pPr>
        <w:pageBreakBefore w:val="0"/>
        <w:widowControl w:val="0"/>
        <w:kinsoku/>
        <w:overflowPunct/>
        <w:topLinePunct w:val="0"/>
        <w:autoSpaceDE/>
        <w:autoSpaceDN/>
        <w:bidi w:val="0"/>
        <w:adjustRightInd/>
        <w:spacing w:line="440" w:lineRule="exact"/>
        <w:textAlignment w:val="auto"/>
        <w:rPr>
          <w:rFonts w:hint="default"/>
          <w:lang w:val="en-US" w:eastAsia="zh-CN"/>
        </w:rPr>
      </w:pPr>
    </w:p>
    <w:p>
      <w:pPr>
        <w:pStyle w:val="7"/>
        <w:pageBreakBefore w:val="0"/>
        <w:widowControl w:val="0"/>
        <w:kinsoku/>
        <w:overflowPunct/>
        <w:topLinePunct w:val="0"/>
        <w:autoSpaceDE/>
        <w:autoSpaceDN/>
        <w:bidi w:val="0"/>
        <w:adjustRightInd/>
        <w:spacing w:line="440" w:lineRule="exact"/>
        <w:textAlignment w:val="auto"/>
        <w:rPr>
          <w:rFonts w:hint="default"/>
          <w:lang w:val="en-US" w:eastAsia="zh-CN"/>
        </w:rPr>
      </w:pPr>
    </w:p>
    <w:p>
      <w:pPr>
        <w:pStyle w:val="7"/>
        <w:pageBreakBefore w:val="0"/>
        <w:widowControl w:val="0"/>
        <w:kinsoku/>
        <w:overflowPunct/>
        <w:topLinePunct w:val="0"/>
        <w:autoSpaceDE/>
        <w:autoSpaceDN/>
        <w:bidi w:val="0"/>
        <w:adjustRightInd/>
        <w:spacing w:line="440" w:lineRule="exact"/>
        <w:textAlignment w:val="auto"/>
        <w:rPr>
          <w:rFonts w:hint="default"/>
          <w:lang w:val="en-US" w:eastAsia="zh-CN"/>
        </w:rPr>
      </w:pPr>
    </w:p>
    <w:p>
      <w:pPr>
        <w:pStyle w:val="4"/>
        <w:keepNext/>
        <w:keepLines/>
        <w:pageBreakBefore w:val="0"/>
        <w:widowControl w:val="0"/>
        <w:kinsoku/>
        <w:wordWrap w:val="0"/>
        <w:overflowPunct/>
        <w:topLinePunct w:val="0"/>
        <w:autoSpaceDE/>
        <w:autoSpaceDN/>
        <w:bidi w:val="0"/>
        <w:adjustRightInd/>
        <w:snapToGrid/>
        <w:spacing w:line="440" w:lineRule="exact"/>
        <w:jc w:val="center"/>
        <w:textAlignment w:val="auto"/>
        <w:rPr>
          <w:rFonts w:hint="eastAsia" w:cs="宋体"/>
          <w:b w:val="0"/>
          <w:bCs w:val="0"/>
          <w:color w:val="000000"/>
          <w:sz w:val="28"/>
          <w:szCs w:val="28"/>
          <w:highlight w:val="none"/>
          <w:lang w:val="en-US" w:eastAsia="zh-CN"/>
        </w:rPr>
      </w:pPr>
      <w:r>
        <w:rPr>
          <w:rFonts w:hint="eastAsia" w:cs="宋体"/>
          <w:b w:val="0"/>
          <w:bCs w:val="0"/>
          <w:color w:val="000000"/>
          <w:sz w:val="28"/>
          <w:szCs w:val="28"/>
          <w:highlight w:val="none"/>
          <w:lang w:eastAsia="zh-CN"/>
        </w:rPr>
        <w:t>附录二</w:t>
      </w:r>
      <w:r>
        <w:rPr>
          <w:rFonts w:hint="eastAsia" w:cs="宋体"/>
          <w:b w:val="0"/>
          <w:bCs w:val="0"/>
          <w:color w:val="000000"/>
          <w:sz w:val="28"/>
          <w:szCs w:val="28"/>
          <w:highlight w:val="none"/>
          <w:lang w:val="en-US" w:eastAsia="zh-CN"/>
        </w:rPr>
        <w:t xml:space="preserve"> 资格审查条件（财务最低要求）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56"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b/>
                <w:bCs/>
                <w:sz w:val="22"/>
                <w:szCs w:val="28"/>
                <w:lang w:val="en-US" w:eastAsia="zh-CN"/>
              </w:rPr>
            </w:pPr>
            <w:r>
              <w:rPr>
                <w:rFonts w:hint="eastAsia" w:ascii="Times New Roman" w:eastAsia="宋体"/>
                <w:b/>
                <w:bCs/>
                <w:sz w:val="22"/>
                <w:szCs w:val="28"/>
                <w:lang w:val="en-US" w:eastAsia="zh-CN"/>
              </w:rPr>
              <w:t>标段编号</w:t>
            </w:r>
          </w:p>
        </w:tc>
        <w:tc>
          <w:tcPr>
            <w:tcW w:w="7769"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b/>
                <w:bCs/>
                <w:sz w:val="22"/>
                <w:szCs w:val="28"/>
                <w:lang w:val="en-US" w:eastAsia="zh-CN"/>
              </w:rPr>
            </w:pPr>
            <w:r>
              <w:rPr>
                <w:rFonts w:hint="eastAsia" w:ascii="Times New Roman" w:eastAsia="宋体"/>
                <w:b/>
                <w:bCs/>
                <w:sz w:val="22"/>
                <w:szCs w:val="28"/>
                <w:lang w:val="en-US" w:eastAsia="zh-CN"/>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656"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E6109013546</w:t>
            </w:r>
          </w:p>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97ti382me001</w:t>
            </w:r>
          </w:p>
        </w:tc>
        <w:tc>
          <w:tcPr>
            <w:tcW w:w="7769" w:type="dxa"/>
            <w:vAlign w:val="center"/>
          </w:tcPr>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其他要求：提供</w:t>
            </w:r>
            <w:r>
              <w:rPr>
                <w:rFonts w:hint="eastAsia" w:asciiTheme="minorEastAsia" w:hAnsiTheme="minorEastAsia" w:eastAsiaTheme="minorEastAsia" w:cstheme="minorEastAsia"/>
                <w:sz w:val="24"/>
                <w:szCs w:val="24"/>
                <w:lang w:val="en-US" w:eastAsia="zh-CN"/>
              </w:rPr>
              <w:t>经审计的</w:t>
            </w:r>
            <w:r>
              <w:rPr>
                <w:rFonts w:hint="eastAsia" w:asciiTheme="minorEastAsia" w:hAnsiTheme="minorEastAsia" w:eastAsiaTheme="minorEastAsia" w:cstheme="minorEastAsia"/>
                <w:sz w:val="24"/>
                <w:szCs w:val="24"/>
                <w:highlight w:val="none"/>
                <w:lang w:val="en-US" w:eastAsia="zh-CN"/>
              </w:rPr>
              <w:t>2020至2022年度</w:t>
            </w:r>
            <w:r>
              <w:rPr>
                <w:rFonts w:hint="eastAsia" w:asciiTheme="minorEastAsia" w:hAnsiTheme="minorEastAsia" w:eastAsiaTheme="minorEastAsia" w:cstheme="minorEastAsia"/>
                <w:sz w:val="24"/>
                <w:szCs w:val="24"/>
                <w:lang w:val="en-US" w:eastAsia="zh-CN"/>
              </w:rPr>
              <w:t>财务报告（包括审计报告、资产负债表、利润表、现金流量表、报表附注和审计机构相关资质证件，新成立的提供成立后任意时段的财务报表），或投标文件递交截止时间前六个月内其基本存款账户开户银行出具的资信证明（附开户许可证或基本存款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5" w:type="dxa"/>
            <w:gridSpan w:val="2"/>
            <w:vAlign w:val="center"/>
          </w:tcPr>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说明：</w:t>
            </w:r>
          </w:p>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近年财务状况表”应附2020至2022年经会计师事务所或财务审计机构审计的财务报告，包括审计报告、资产负债表、损益表（利润表）、现金流量表、会计报表附注和审计机构相关资质证件。新成立的企业以成立时间为准，提供相应年度的财务会计报表。</w:t>
            </w:r>
          </w:p>
          <w:p>
            <w:pPr>
              <w:pageBreakBefore w:val="0"/>
              <w:widowControl w:val="0"/>
              <w:kinsoku/>
              <w:overflowPunct/>
              <w:topLinePunct w:val="0"/>
              <w:autoSpaceDE/>
              <w:autoSpaceDN/>
              <w:bidi w:val="0"/>
              <w:adjustRightInd/>
              <w:spacing w:line="440" w:lineRule="exact"/>
              <w:jc w:val="left"/>
              <w:textAlignment w:val="auto"/>
              <w:rPr>
                <w:rFonts w:hint="default"/>
                <w:lang w:val="en-US" w:eastAsia="zh-CN"/>
              </w:rPr>
            </w:pPr>
            <w:r>
              <w:rPr>
                <w:rFonts w:hint="eastAsia" w:asciiTheme="minorEastAsia" w:hAnsiTheme="minorEastAsia" w:eastAsiaTheme="minorEastAsia" w:cstheme="minorEastAsia"/>
                <w:sz w:val="24"/>
                <w:szCs w:val="24"/>
                <w:vertAlign w:val="baseline"/>
                <w:lang w:val="en-US" w:eastAsia="zh-CN"/>
              </w:rPr>
              <w:t>2.财务状况表所列数据必须与各附件中的数据相一致，所附财务会计报表的复印件或扫描件应清晰可辨，否则评审时不予认可。</w:t>
            </w:r>
          </w:p>
        </w:tc>
      </w:tr>
    </w:tbl>
    <w:p>
      <w:pPr>
        <w:pStyle w:val="17"/>
        <w:pageBreakBefore w:val="0"/>
        <w:widowControl w:val="0"/>
        <w:kinsoku/>
        <w:overflowPunct/>
        <w:topLinePunct w:val="0"/>
        <w:autoSpaceDE/>
        <w:autoSpaceDN/>
        <w:bidi w:val="0"/>
        <w:adjustRightInd/>
        <w:spacing w:line="440" w:lineRule="exact"/>
        <w:textAlignment w:val="auto"/>
        <w:rPr>
          <w:rFonts w:hint="default"/>
          <w:lang w:val="en-US" w:eastAsia="zh-CN"/>
        </w:rPr>
      </w:pPr>
    </w:p>
    <w:p>
      <w:pPr>
        <w:pageBreakBefore w:val="0"/>
        <w:widowControl w:val="0"/>
        <w:kinsoku/>
        <w:overflowPunct/>
        <w:topLinePunct w:val="0"/>
        <w:autoSpaceDE/>
        <w:autoSpaceDN/>
        <w:bidi w:val="0"/>
        <w:adjustRightInd/>
        <w:spacing w:line="440" w:lineRule="exact"/>
        <w:textAlignment w:val="auto"/>
        <w:rPr>
          <w:rFonts w:hint="eastAsia"/>
          <w:lang w:eastAsia="zh-CN"/>
        </w:rPr>
      </w:pPr>
    </w:p>
    <w:p>
      <w:pPr>
        <w:pStyle w:val="4"/>
        <w:keepNext/>
        <w:keepLines/>
        <w:pageBreakBefore w:val="0"/>
        <w:widowControl w:val="0"/>
        <w:kinsoku/>
        <w:wordWrap w:val="0"/>
        <w:overflowPunct/>
        <w:topLinePunct w:val="0"/>
        <w:autoSpaceDE/>
        <w:autoSpaceDN/>
        <w:bidi w:val="0"/>
        <w:adjustRightInd/>
        <w:snapToGrid/>
        <w:spacing w:line="440" w:lineRule="exact"/>
        <w:jc w:val="center"/>
        <w:textAlignment w:val="auto"/>
        <w:rPr>
          <w:rFonts w:hint="eastAsia" w:cs="宋体"/>
          <w:b w:val="0"/>
          <w:bCs w:val="0"/>
          <w:color w:val="000000"/>
          <w:sz w:val="28"/>
          <w:szCs w:val="28"/>
          <w:highlight w:val="none"/>
          <w:lang w:val="en-US" w:eastAsia="zh-CN"/>
        </w:rPr>
      </w:pPr>
      <w:r>
        <w:rPr>
          <w:rFonts w:hint="eastAsia" w:cs="宋体"/>
          <w:b w:val="0"/>
          <w:bCs w:val="0"/>
          <w:color w:val="000000"/>
          <w:sz w:val="28"/>
          <w:szCs w:val="28"/>
          <w:highlight w:val="none"/>
          <w:lang w:eastAsia="zh-CN"/>
        </w:rPr>
        <w:t>附录三</w:t>
      </w:r>
      <w:r>
        <w:rPr>
          <w:rFonts w:hint="eastAsia" w:cs="宋体"/>
          <w:b w:val="0"/>
          <w:bCs w:val="0"/>
          <w:color w:val="000000"/>
          <w:sz w:val="28"/>
          <w:szCs w:val="28"/>
          <w:highlight w:val="none"/>
          <w:lang w:val="en-US" w:eastAsia="zh-CN"/>
        </w:rPr>
        <w:t xml:space="preserve"> 资格审查条件（业绩最低要求）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74"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b/>
                <w:bCs/>
                <w:sz w:val="22"/>
                <w:szCs w:val="28"/>
                <w:lang w:val="en-US" w:eastAsia="zh-CN"/>
              </w:rPr>
            </w:pPr>
            <w:r>
              <w:rPr>
                <w:rFonts w:hint="eastAsia" w:ascii="Times New Roman" w:eastAsia="宋体"/>
                <w:b/>
                <w:bCs/>
                <w:sz w:val="22"/>
                <w:szCs w:val="28"/>
                <w:lang w:val="en-US" w:eastAsia="zh-CN"/>
              </w:rPr>
              <w:t>标段编号</w:t>
            </w:r>
          </w:p>
        </w:tc>
        <w:tc>
          <w:tcPr>
            <w:tcW w:w="7715"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b/>
                <w:bCs/>
                <w:sz w:val="22"/>
                <w:szCs w:val="28"/>
                <w:lang w:val="en-US" w:eastAsia="zh-CN"/>
              </w:rPr>
            </w:pPr>
            <w:r>
              <w:rPr>
                <w:rFonts w:hint="eastAsia" w:ascii="Times New Roman" w:eastAsia="宋体"/>
                <w:b/>
                <w:bCs/>
                <w:sz w:val="22"/>
                <w:szCs w:val="28"/>
                <w:lang w:val="en-US"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574"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E6109013546</w:t>
            </w:r>
          </w:p>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97ti382me001</w:t>
            </w:r>
          </w:p>
        </w:tc>
        <w:tc>
          <w:tcPr>
            <w:tcW w:w="7715" w:type="dxa"/>
            <w:vAlign w:val="center"/>
          </w:tcPr>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近5年完成过至少1项二级及以上新建或改扩建公路工程（同时包含路基、沥青混凝土路面）施工业绩。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9289" w:type="dxa"/>
            <w:gridSpan w:val="2"/>
            <w:vAlign w:val="center"/>
          </w:tcPr>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说明：</w:t>
            </w:r>
          </w:p>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1.“近年完成的类似项目情况表”应附“全国公路建设市场信用信息管理系统”企业业绩信息网页截图或“陕西省公路建设市场信用信息管理系统”企业业绩信息网页截图或中标通知书或施工合同。</w:t>
            </w:r>
          </w:p>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2.如投标人提供的业绩证明材料无法证实投标人满足招标文件规定的资格审查条件（业绩最低要求），则该项目业绩不予认定。</w:t>
            </w:r>
          </w:p>
        </w:tc>
      </w:tr>
    </w:tbl>
    <w:p>
      <w:pPr>
        <w:pStyle w:val="18"/>
        <w:pageBreakBefore w:val="0"/>
        <w:widowControl w:val="0"/>
        <w:kinsoku/>
        <w:overflowPunct/>
        <w:topLinePunct w:val="0"/>
        <w:autoSpaceDE/>
        <w:autoSpaceDN/>
        <w:bidi w:val="0"/>
        <w:adjustRightInd/>
        <w:spacing w:line="440" w:lineRule="exact"/>
        <w:textAlignment w:val="auto"/>
        <w:rPr>
          <w:rFonts w:hint="default"/>
          <w:lang w:val="en-US" w:eastAsia="zh-CN"/>
        </w:rPr>
      </w:pPr>
    </w:p>
    <w:p>
      <w:pPr>
        <w:pStyle w:val="4"/>
        <w:keepNext/>
        <w:keepLines/>
        <w:pageBreakBefore w:val="0"/>
        <w:widowControl w:val="0"/>
        <w:kinsoku/>
        <w:wordWrap w:val="0"/>
        <w:overflowPunct/>
        <w:topLinePunct w:val="0"/>
        <w:autoSpaceDE/>
        <w:autoSpaceDN/>
        <w:bidi w:val="0"/>
        <w:adjustRightInd/>
        <w:snapToGrid/>
        <w:spacing w:line="440" w:lineRule="exact"/>
        <w:jc w:val="center"/>
        <w:textAlignment w:val="auto"/>
        <w:rPr>
          <w:rFonts w:hint="eastAsia" w:cs="宋体"/>
          <w:b w:val="0"/>
          <w:bCs w:val="0"/>
          <w:color w:val="000000"/>
          <w:sz w:val="28"/>
          <w:szCs w:val="28"/>
          <w:highlight w:val="none"/>
          <w:lang w:val="en-US" w:eastAsia="zh-CN"/>
        </w:rPr>
      </w:pPr>
      <w:r>
        <w:rPr>
          <w:rFonts w:hint="eastAsia" w:cs="宋体"/>
          <w:b w:val="0"/>
          <w:bCs w:val="0"/>
          <w:color w:val="000000"/>
          <w:sz w:val="28"/>
          <w:szCs w:val="28"/>
          <w:highlight w:val="none"/>
          <w:lang w:eastAsia="zh-CN"/>
        </w:rPr>
        <w:t>附录四</w:t>
      </w:r>
      <w:r>
        <w:rPr>
          <w:rFonts w:hint="eastAsia" w:cs="宋体"/>
          <w:b w:val="0"/>
          <w:bCs w:val="0"/>
          <w:color w:val="000000"/>
          <w:sz w:val="28"/>
          <w:szCs w:val="28"/>
          <w:highlight w:val="none"/>
          <w:lang w:val="en-US" w:eastAsia="zh-CN"/>
        </w:rPr>
        <w:t xml:space="preserve"> 资格审查条件（信誉最低要求）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56"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b/>
                <w:bCs/>
                <w:sz w:val="22"/>
                <w:szCs w:val="28"/>
                <w:lang w:val="en-US" w:eastAsia="zh-CN"/>
              </w:rPr>
            </w:pPr>
            <w:r>
              <w:rPr>
                <w:rFonts w:hint="eastAsia" w:ascii="Times New Roman" w:eastAsia="宋体"/>
                <w:b/>
                <w:bCs/>
                <w:sz w:val="22"/>
                <w:szCs w:val="28"/>
                <w:lang w:val="en-US" w:eastAsia="zh-CN"/>
              </w:rPr>
              <w:t>标段编号</w:t>
            </w:r>
          </w:p>
        </w:tc>
        <w:tc>
          <w:tcPr>
            <w:tcW w:w="7769"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b/>
                <w:bCs/>
                <w:sz w:val="22"/>
                <w:szCs w:val="28"/>
                <w:lang w:val="en-US" w:eastAsia="zh-CN"/>
              </w:rPr>
            </w:pPr>
            <w:r>
              <w:rPr>
                <w:rFonts w:hint="eastAsia" w:ascii="Times New Roman" w:eastAsia="宋体"/>
                <w:b/>
                <w:bCs/>
                <w:sz w:val="22"/>
                <w:szCs w:val="28"/>
                <w:lang w:val="en-US" w:eastAsia="zh-C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656" w:type="dxa"/>
            <w:vAlign w:val="center"/>
          </w:tcPr>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E6109013546</w:t>
            </w:r>
          </w:p>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97ti382me001</w:t>
            </w:r>
          </w:p>
        </w:tc>
        <w:tc>
          <w:tcPr>
            <w:tcW w:w="7769" w:type="dxa"/>
            <w:vAlign w:val="center"/>
          </w:tcPr>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投标人不得存在下列不良状况或不良信用记录：</w:t>
            </w:r>
          </w:p>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1.被交通运输部或陕西省交通运输厅或陕西省公路局最新的信用评价列为D级或曾被评为D级但处罚期限未过的；</w:t>
            </w:r>
          </w:p>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2.投标人须知正文第1.4.4条款列明的不良状况或不良信用记录。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9425" w:type="dxa"/>
            <w:gridSpan w:val="2"/>
            <w:vAlign w:val="center"/>
          </w:tcPr>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说明：</w:t>
            </w:r>
          </w:p>
          <w:p>
            <w:pPr>
              <w:pageBreakBefore w:val="0"/>
              <w:widowControl w:val="0"/>
              <w:kinsoku/>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投标人的信誉情况表”应附投标人公路施工企业信用评价结果证明材料、在“信用中国”网站中未被列入失信被执行人名单、在“国家企业信用信息公示系统”中未被列入严重违法失信企业名单的查询截图，投标人、法定代表人、拟派项目经理在“中国裁判文书网”无行贿犯罪行为的查询截图。</w:t>
            </w:r>
          </w:p>
          <w:p>
            <w:pPr>
              <w:pageBreakBefore w:val="0"/>
              <w:widowControl w:val="0"/>
              <w:kinsoku/>
              <w:overflowPunct/>
              <w:topLinePunct w:val="0"/>
              <w:autoSpaceDE/>
              <w:autoSpaceDN/>
              <w:bidi w:val="0"/>
              <w:adjustRightInd/>
              <w:spacing w:line="440" w:lineRule="exact"/>
              <w:jc w:val="left"/>
              <w:textAlignment w:val="auto"/>
              <w:rPr>
                <w:rFonts w:hint="default"/>
                <w:lang w:val="en-US" w:eastAsia="zh-CN"/>
              </w:rPr>
            </w:pPr>
            <w:r>
              <w:rPr>
                <w:rFonts w:hint="eastAsia" w:asciiTheme="minorEastAsia" w:hAnsiTheme="minorEastAsia" w:eastAsiaTheme="minorEastAsia" w:cstheme="minorEastAsia"/>
                <w:sz w:val="24"/>
                <w:szCs w:val="24"/>
                <w:vertAlign w:val="baseline"/>
                <w:lang w:val="en-US" w:eastAsia="zh-CN"/>
              </w:rPr>
              <w:t>2.投标人公路施工企业信用评价结果证明材料：如投标人为2022年度陕西省公路建设市场信用评价参评单位，提供信用评价结果截图；2022年度在陕西省无信用评价结果的，提供情况说明及陕西省上一年度信用评价结果截图；陕西省上一年度无信用评价结果的，提供情况说明及公路建设市场全国综合信用评价结果截图；尚无全国综合评价的，提供情况说明。</w:t>
            </w:r>
          </w:p>
        </w:tc>
      </w:tr>
    </w:tbl>
    <w:p>
      <w:pPr>
        <w:pStyle w:val="4"/>
        <w:pageBreakBefore w:val="0"/>
        <w:widowControl w:val="0"/>
        <w:kinsoku/>
        <w:wordWrap w:val="0"/>
        <w:overflowPunct/>
        <w:topLinePunct w:val="0"/>
        <w:autoSpaceDE/>
        <w:autoSpaceDN/>
        <w:bidi w:val="0"/>
        <w:adjustRightInd/>
        <w:spacing w:line="440" w:lineRule="exact"/>
        <w:textAlignment w:val="auto"/>
        <w:rPr>
          <w:rFonts w:hint="eastAsia" w:ascii="宋体" w:hAnsi="宋体" w:eastAsia="宋体" w:cs="宋体"/>
          <w:color w:val="000000"/>
          <w:sz w:val="24"/>
          <w:szCs w:val="24"/>
          <w:highlight w:val="none"/>
        </w:rPr>
      </w:pPr>
    </w:p>
    <w:p>
      <w:pPr>
        <w:pageBreakBefore w:val="0"/>
        <w:widowControl w:val="0"/>
        <w:kinsoku/>
        <w:overflowPunct/>
        <w:topLinePunct w:val="0"/>
        <w:autoSpaceDE/>
        <w:autoSpaceDN/>
        <w:bidi w:val="0"/>
        <w:adjustRightInd/>
        <w:spacing w:line="440" w:lineRule="exact"/>
        <w:textAlignment w:val="auto"/>
        <w:rPr>
          <w:rFonts w:hint="eastAsia" w:ascii="宋体" w:hAnsi="宋体" w:eastAsia="宋体" w:cs="宋体"/>
          <w:color w:val="000000"/>
          <w:sz w:val="24"/>
          <w:szCs w:val="24"/>
          <w:highlight w:val="none"/>
        </w:rPr>
      </w:pPr>
    </w:p>
    <w:p>
      <w:pPr>
        <w:pStyle w:val="7"/>
        <w:pageBreakBefore w:val="0"/>
        <w:widowControl w:val="0"/>
        <w:kinsoku/>
        <w:overflowPunct/>
        <w:topLinePunct w:val="0"/>
        <w:autoSpaceDE/>
        <w:autoSpaceDN/>
        <w:bidi w:val="0"/>
        <w:adjustRightInd/>
        <w:spacing w:line="440" w:lineRule="exact"/>
        <w:textAlignment w:val="auto"/>
        <w:rPr>
          <w:rFonts w:hint="eastAsia" w:ascii="宋体" w:hAnsi="宋体" w:eastAsia="宋体" w:cs="宋体"/>
          <w:color w:val="000000"/>
          <w:sz w:val="24"/>
          <w:szCs w:val="24"/>
          <w:highlight w:val="none"/>
        </w:rPr>
      </w:pPr>
    </w:p>
    <w:p>
      <w:pPr>
        <w:pageBreakBefore w:val="0"/>
        <w:widowControl w:val="0"/>
        <w:kinsoku/>
        <w:overflowPunct/>
        <w:topLinePunct w:val="0"/>
        <w:autoSpaceDE/>
        <w:autoSpaceDN/>
        <w:bidi w:val="0"/>
        <w:adjustRightInd/>
        <w:spacing w:line="440" w:lineRule="exact"/>
        <w:textAlignment w:val="auto"/>
        <w:rPr>
          <w:rFonts w:hint="eastAsia" w:ascii="宋体" w:hAnsi="宋体" w:eastAsia="宋体" w:cs="宋体"/>
          <w:color w:val="000000"/>
          <w:sz w:val="24"/>
          <w:szCs w:val="24"/>
          <w:highlight w:val="none"/>
        </w:rPr>
      </w:pPr>
    </w:p>
    <w:p>
      <w:pPr>
        <w:pStyle w:val="7"/>
        <w:pageBreakBefore w:val="0"/>
        <w:widowControl w:val="0"/>
        <w:kinsoku/>
        <w:overflowPunct/>
        <w:topLinePunct w:val="0"/>
        <w:autoSpaceDE/>
        <w:autoSpaceDN/>
        <w:bidi w:val="0"/>
        <w:adjustRightInd/>
        <w:spacing w:line="440" w:lineRule="exact"/>
        <w:textAlignment w:val="auto"/>
        <w:rPr>
          <w:rFonts w:hint="eastAsia" w:ascii="宋体" w:hAnsi="宋体" w:eastAsia="宋体" w:cs="宋体"/>
          <w:color w:val="000000"/>
          <w:sz w:val="24"/>
          <w:szCs w:val="24"/>
          <w:highlight w:val="none"/>
        </w:rPr>
      </w:pPr>
    </w:p>
    <w:p>
      <w:pPr>
        <w:pageBreakBefore w:val="0"/>
        <w:widowControl w:val="0"/>
        <w:kinsoku/>
        <w:overflowPunct/>
        <w:topLinePunct w:val="0"/>
        <w:autoSpaceDE/>
        <w:autoSpaceDN/>
        <w:bidi w:val="0"/>
        <w:adjustRightInd/>
        <w:spacing w:line="440" w:lineRule="exact"/>
        <w:textAlignment w:val="auto"/>
        <w:rPr>
          <w:rFonts w:hint="eastAsia" w:ascii="宋体" w:hAnsi="宋体" w:eastAsia="宋体" w:cs="宋体"/>
          <w:color w:val="000000"/>
          <w:sz w:val="24"/>
          <w:szCs w:val="24"/>
          <w:highlight w:val="none"/>
        </w:rPr>
      </w:pPr>
    </w:p>
    <w:p>
      <w:pPr>
        <w:pStyle w:val="7"/>
        <w:pageBreakBefore w:val="0"/>
        <w:widowControl w:val="0"/>
        <w:kinsoku/>
        <w:overflowPunct/>
        <w:topLinePunct w:val="0"/>
        <w:autoSpaceDE/>
        <w:autoSpaceDN/>
        <w:bidi w:val="0"/>
        <w:adjustRightInd/>
        <w:spacing w:line="440" w:lineRule="exact"/>
        <w:textAlignment w:val="auto"/>
        <w:rPr>
          <w:rFonts w:hint="eastAsia" w:ascii="宋体" w:hAnsi="宋体" w:eastAsia="宋体" w:cs="宋体"/>
          <w:color w:val="000000"/>
          <w:sz w:val="24"/>
          <w:szCs w:val="24"/>
          <w:highlight w:val="none"/>
        </w:rPr>
      </w:pPr>
    </w:p>
    <w:p>
      <w:pPr>
        <w:pageBreakBefore w:val="0"/>
        <w:widowControl w:val="0"/>
        <w:kinsoku/>
        <w:overflowPunct/>
        <w:topLinePunct w:val="0"/>
        <w:autoSpaceDE/>
        <w:autoSpaceDN/>
        <w:bidi w:val="0"/>
        <w:adjustRightInd/>
        <w:spacing w:line="440" w:lineRule="exact"/>
        <w:textAlignment w:val="auto"/>
        <w:rPr>
          <w:rFonts w:hint="eastAsia"/>
        </w:rPr>
      </w:pPr>
    </w:p>
    <w:p>
      <w:pPr>
        <w:pageBreakBefore w:val="0"/>
        <w:widowControl w:val="0"/>
        <w:kinsoku/>
        <w:overflowPunct/>
        <w:topLinePunct w:val="0"/>
        <w:autoSpaceDE/>
        <w:autoSpaceDN/>
        <w:bidi w:val="0"/>
        <w:adjustRightInd/>
        <w:spacing w:line="440" w:lineRule="exact"/>
        <w:textAlignment w:val="auto"/>
        <w:rPr>
          <w:rFonts w:hint="eastAsia" w:ascii="宋体" w:hAnsi="宋体" w:eastAsia="宋体" w:cs="宋体"/>
          <w:color w:val="000000"/>
          <w:sz w:val="24"/>
          <w:szCs w:val="24"/>
          <w:highlight w:val="none"/>
        </w:rPr>
      </w:pPr>
    </w:p>
    <w:p>
      <w:pPr>
        <w:pStyle w:val="25"/>
        <w:pageBreakBefore w:val="0"/>
        <w:widowControl w:val="0"/>
        <w:kinsoku/>
        <w:overflowPunct/>
        <w:topLinePunct w:val="0"/>
        <w:autoSpaceDE/>
        <w:autoSpaceDN/>
        <w:bidi w:val="0"/>
        <w:adjustRightInd/>
        <w:spacing w:line="440" w:lineRule="exact"/>
        <w:textAlignment w:val="auto"/>
        <w:rPr>
          <w:rFonts w:hint="eastAsia" w:ascii="宋体" w:hAnsi="宋体" w:eastAsia="宋体" w:cs="宋体"/>
          <w:color w:val="000000"/>
          <w:sz w:val="24"/>
          <w:szCs w:val="24"/>
          <w:highlight w:val="none"/>
        </w:rPr>
      </w:pPr>
    </w:p>
    <w:p>
      <w:pPr>
        <w:pStyle w:val="25"/>
        <w:pageBreakBefore w:val="0"/>
        <w:widowControl w:val="0"/>
        <w:kinsoku/>
        <w:overflowPunct/>
        <w:topLinePunct w:val="0"/>
        <w:autoSpaceDE/>
        <w:autoSpaceDN/>
        <w:bidi w:val="0"/>
        <w:adjustRightInd/>
        <w:spacing w:line="440" w:lineRule="exact"/>
        <w:textAlignment w:val="auto"/>
        <w:rPr>
          <w:rFonts w:hint="eastAsia" w:ascii="宋体" w:hAnsi="宋体" w:eastAsia="宋体" w:cs="宋体"/>
          <w:color w:val="000000"/>
          <w:sz w:val="24"/>
          <w:szCs w:val="24"/>
          <w:highlight w:val="none"/>
        </w:rPr>
      </w:pPr>
    </w:p>
    <w:p>
      <w:pPr>
        <w:pStyle w:val="25"/>
        <w:pageBreakBefore w:val="0"/>
        <w:widowControl w:val="0"/>
        <w:kinsoku/>
        <w:overflowPunct/>
        <w:topLinePunct w:val="0"/>
        <w:autoSpaceDE/>
        <w:autoSpaceDN/>
        <w:bidi w:val="0"/>
        <w:adjustRightInd/>
        <w:spacing w:line="440" w:lineRule="exact"/>
        <w:textAlignment w:val="auto"/>
        <w:rPr>
          <w:rFonts w:hint="eastAsia" w:ascii="宋体" w:hAnsi="宋体" w:eastAsia="宋体" w:cs="宋体"/>
          <w:color w:val="000000"/>
          <w:sz w:val="24"/>
          <w:szCs w:val="24"/>
          <w:highlight w:val="none"/>
        </w:rPr>
      </w:pPr>
    </w:p>
    <w:p>
      <w:pPr>
        <w:pStyle w:val="25"/>
        <w:pageBreakBefore w:val="0"/>
        <w:widowControl w:val="0"/>
        <w:kinsoku/>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color w:val="000000"/>
          <w:sz w:val="24"/>
          <w:szCs w:val="24"/>
          <w:highlight w:val="none"/>
        </w:rPr>
      </w:pPr>
    </w:p>
    <w:p>
      <w:pPr>
        <w:keepNext/>
        <w:keepLines/>
        <w:pageBreakBefore w:val="0"/>
        <w:widowControl w:val="0"/>
        <w:kinsoku/>
        <w:wordWrap w:val="0"/>
        <w:overflowPunct/>
        <w:topLinePunct w:val="0"/>
        <w:autoSpaceDE/>
        <w:autoSpaceDN/>
        <w:bidi w:val="0"/>
        <w:adjustRightInd/>
        <w:snapToGrid/>
        <w:spacing w:line="440" w:lineRule="exact"/>
        <w:jc w:val="center"/>
        <w:textAlignment w:val="auto"/>
        <w:outlineLvl w:val="1"/>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附录五 资格审查条件（项目经理和项目总工最低要求）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716"/>
        <w:gridCol w:w="733"/>
        <w:gridCol w:w="2136"/>
        <w:gridCol w:w="1462"/>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1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标段编号</w:t>
            </w:r>
          </w:p>
        </w:tc>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人员</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数量</w:t>
            </w:r>
          </w:p>
        </w:tc>
        <w:tc>
          <w:tcPr>
            <w:tcW w:w="21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资质要求</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在岗要求</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171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E6109013546</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97ti382me001</w:t>
            </w:r>
          </w:p>
        </w:tc>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项目经理</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1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109" w:rightChars="-52"/>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持有有效的省级或以上交通运输主管部门颁发的安全生产考核B证。</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未担任其他在建工程的项目经理。</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1.具备公路工程专业二级（含二级）以上注册建造师资格。</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2.在本单位注册时间至今满1年。</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Theme="minorEastAsia" w:hAnsiTheme="minorEastAsia" w:eastAsiaTheme="minorEastAsia" w:cstheme="minorEastAsia"/>
                <w:sz w:val="24"/>
                <w:szCs w:val="24"/>
                <w:vertAlign w:val="baseline"/>
                <w:lang w:val="en-US" w:eastAsia="zh-CN"/>
              </w:rPr>
              <w:t>3.近5年至少担任过1项二级及以上主要公路工程施工的项目经理。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17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vertAlign w:val="baseline"/>
                <w:lang w:val="en-US" w:eastAsia="zh-CN"/>
              </w:rPr>
            </w:pPr>
          </w:p>
        </w:tc>
        <w:tc>
          <w:tcPr>
            <w:tcW w:w="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项目总工</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1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持有有效的省级或以上交通运输主管部门颁发的安全生产考核B证。</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未担任其他在建工程的项目总工。</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1.具有公路工程相关专业中级及以上职称。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2.本单位任职时间至今满1年。</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asciiTheme="minorEastAsia" w:hAnsiTheme="minorEastAsia" w:eastAsiaTheme="minorEastAsia" w:cstheme="minorEastAsia"/>
                <w:sz w:val="24"/>
                <w:szCs w:val="24"/>
                <w:vertAlign w:val="baseline"/>
                <w:lang w:val="en-US" w:eastAsia="zh-CN"/>
              </w:rPr>
              <w:t>3.近5年至少担任过1项二级及以上公路工程施工的项目总工（或技术负责人）。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41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说明：“拟委任的项目经理和项目总工资历表"应附项目经理身份证、建造师资格证及注册证、交通运输主管部门颁发的安全生产考核B证、本单位近1年社会保障资金缴纳证明材料、近5年至少担任过1项二级及以上主要公路工程施工的项目经理证明材料（“全国公路建设市场信用信息管理系统”</w:t>
            </w: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HYPERLINK "http://glxy.mot.gov.cn/BM/)中查询到的企业\“业绩信息\”相关项目网页截图复印件，截图应体现公路等级、交工时间、合同价或结算价及主要工程内容等信息。"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vertAlign w:val="baseline"/>
                <w:lang w:val="en-US" w:eastAsia="zh-CN"/>
              </w:rPr>
              <w:t>人员业绩信息网页截图或</w:t>
            </w:r>
            <w:r>
              <w:rPr>
                <w:rFonts w:hint="eastAsia" w:asciiTheme="minorEastAsia" w:hAnsiTheme="minorEastAsia" w:eastAsiaTheme="minorEastAsia" w:cstheme="minorEastAsia"/>
                <w:sz w:val="24"/>
                <w:szCs w:val="24"/>
                <w:vertAlign w:val="baseline"/>
                <w:lang w:val="en-US" w:eastAsia="zh-CN"/>
              </w:rPr>
              <w:fldChar w:fldCharType="end"/>
            </w:r>
            <w:r>
              <w:rPr>
                <w:rFonts w:hint="eastAsia" w:asciiTheme="minorEastAsia" w:hAnsiTheme="minorEastAsia" w:eastAsiaTheme="minorEastAsia" w:cstheme="minorEastAsia"/>
                <w:sz w:val="24"/>
                <w:szCs w:val="24"/>
                <w:vertAlign w:val="baseline"/>
                <w:lang w:val="en-US" w:eastAsia="zh-CN"/>
              </w:rPr>
              <w:t>“陕西省公路建设市场信用信息管理系统”人员业绩信息网页截图或中标通知书或施工合同，证明材料须体现项目经理姓名）、无在建工程承诺书；项目总工身份证、职称证、交通运输主管部门颁发的安全生产考核B证、本单位近1年社会保障资金缴纳证明、近5年至少担任过1项二级及以上公路工程施工的项目总工（或技术负责人）证明材料（“全国公路建设市场信用信息管理系统”</w:t>
            </w: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HYPERLINK "http://glxy.mot.gov.cn/BM/)中查询到的企业\“业绩信息\”相关项目网页截图复印件，截图应体现公路等级、交工时间、合同价或结算价及主要工程内容等信息。"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vertAlign w:val="baseline"/>
                <w:lang w:val="en-US" w:eastAsia="zh-CN"/>
              </w:rPr>
              <w:t>人员业绩信息网页截图或</w:t>
            </w:r>
            <w:r>
              <w:rPr>
                <w:rFonts w:hint="eastAsia" w:asciiTheme="minorEastAsia" w:hAnsiTheme="minorEastAsia" w:eastAsiaTheme="minorEastAsia" w:cstheme="minorEastAsia"/>
                <w:sz w:val="24"/>
                <w:szCs w:val="24"/>
                <w:vertAlign w:val="baseline"/>
                <w:lang w:val="en-US" w:eastAsia="zh-CN"/>
              </w:rPr>
              <w:fldChar w:fldCharType="end"/>
            </w:r>
            <w:r>
              <w:rPr>
                <w:rFonts w:hint="eastAsia" w:asciiTheme="minorEastAsia" w:hAnsiTheme="minorEastAsia" w:eastAsiaTheme="minorEastAsia" w:cstheme="minorEastAsia"/>
                <w:sz w:val="24"/>
                <w:szCs w:val="24"/>
                <w:vertAlign w:val="baseline"/>
                <w:lang w:val="en-US" w:eastAsia="zh-CN"/>
              </w:rPr>
              <w:t>“陕西省公路建设市场信用信息管理系统”人员业绩信息网页截图或中标通知书或施工合同，证明材料须体现项目总工或技术负责人姓名）、无在建工程承诺书。</w:t>
            </w:r>
          </w:p>
        </w:tc>
      </w:tr>
    </w:tbl>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bCs/>
          <w:color w:val="auto"/>
          <w:sz w:val="24"/>
          <w:szCs w:val="24"/>
          <w:lang w:eastAsia="zh-CN"/>
        </w:rPr>
      </w:pP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三、投标人须知</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投标人须知前附表</w:t>
      </w:r>
    </w:p>
    <w:tbl>
      <w:tblPr>
        <w:tblStyle w:val="19"/>
        <w:tblW w:w="9749" w:type="dxa"/>
        <w:jc w:val="center"/>
        <w:tblLayout w:type="autofit"/>
        <w:tblCellMar>
          <w:top w:w="0" w:type="dxa"/>
          <w:left w:w="108" w:type="dxa"/>
          <w:bottom w:w="0" w:type="dxa"/>
          <w:right w:w="108" w:type="dxa"/>
        </w:tblCellMar>
      </w:tblPr>
      <w:tblGrid>
        <w:gridCol w:w="942"/>
        <w:gridCol w:w="2384"/>
        <w:gridCol w:w="6423"/>
      </w:tblGrid>
      <w:tr>
        <w:tblPrEx>
          <w:tblCellMar>
            <w:top w:w="0" w:type="dxa"/>
            <w:left w:w="108" w:type="dxa"/>
            <w:bottom w:w="0" w:type="dxa"/>
            <w:right w:w="108" w:type="dxa"/>
          </w:tblCellMar>
        </w:tblPrEx>
        <w:trPr>
          <w:trHeight w:val="489"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b/>
                <w:color w:val="000000"/>
                <w:sz w:val="24"/>
                <w:szCs w:val="24"/>
                <w:highlight w:val="none"/>
              </w:rPr>
            </w:pPr>
            <w:bookmarkStart w:id="0" w:name="_Toc221950009"/>
            <w:r>
              <w:rPr>
                <w:rFonts w:hint="eastAsia" w:ascii="宋体" w:hAnsi="宋体" w:eastAsia="宋体" w:cs="宋体"/>
                <w:b/>
                <w:color w:val="000000"/>
                <w:sz w:val="24"/>
                <w:szCs w:val="24"/>
                <w:highlight w:val="none"/>
              </w:rPr>
              <w:t>条款号</w:t>
            </w:r>
            <w:bookmarkEnd w:id="0"/>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b/>
                <w:color w:val="000000"/>
                <w:sz w:val="24"/>
                <w:szCs w:val="24"/>
                <w:highlight w:val="none"/>
              </w:rPr>
            </w:pPr>
            <w:bookmarkStart w:id="1" w:name="_Toc221950010"/>
            <w:r>
              <w:rPr>
                <w:rFonts w:hint="eastAsia" w:ascii="宋体" w:hAnsi="宋体" w:eastAsia="宋体" w:cs="宋体"/>
                <w:b/>
                <w:color w:val="000000"/>
                <w:sz w:val="24"/>
                <w:szCs w:val="24"/>
                <w:highlight w:val="none"/>
              </w:rPr>
              <w:t>条  款  名  称</w:t>
            </w:r>
            <w:bookmarkEnd w:id="1"/>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b/>
                <w:color w:val="000000"/>
                <w:sz w:val="24"/>
                <w:szCs w:val="24"/>
                <w:highlight w:val="none"/>
              </w:rPr>
            </w:pPr>
            <w:bookmarkStart w:id="2" w:name="_Toc221950011"/>
            <w:r>
              <w:rPr>
                <w:rFonts w:hint="eastAsia" w:ascii="宋体" w:hAnsi="宋体" w:eastAsia="宋体" w:cs="宋体"/>
                <w:b/>
                <w:color w:val="000000"/>
                <w:sz w:val="24"/>
                <w:szCs w:val="24"/>
                <w:highlight w:val="none"/>
              </w:rPr>
              <w:t>编  列  内  容</w:t>
            </w:r>
            <w:bookmarkEnd w:id="2"/>
          </w:p>
        </w:tc>
      </w:tr>
      <w:tr>
        <w:tblPrEx>
          <w:tblCellMar>
            <w:top w:w="0" w:type="dxa"/>
            <w:left w:w="108" w:type="dxa"/>
            <w:bottom w:w="0" w:type="dxa"/>
            <w:right w:w="108" w:type="dxa"/>
          </w:tblCellMar>
        </w:tblPrEx>
        <w:trPr>
          <w:trHeight w:val="1282"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3" w:name="_Toc221950012"/>
            <w:r>
              <w:rPr>
                <w:rFonts w:hint="eastAsia" w:ascii="宋体" w:hAnsi="宋体" w:eastAsia="宋体" w:cs="宋体"/>
                <w:color w:val="000000"/>
                <w:sz w:val="24"/>
                <w:szCs w:val="24"/>
                <w:highlight w:val="none"/>
              </w:rPr>
              <w:t>1.1.2</w:t>
            </w:r>
            <w:bookmarkEnd w:id="3"/>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lang w:eastAsia="zh-CN"/>
              </w:rPr>
            </w:pPr>
            <w:bookmarkStart w:id="4" w:name="_Toc221950013"/>
            <w:r>
              <w:rPr>
                <w:rFonts w:hint="eastAsia" w:ascii="宋体" w:hAnsi="宋体" w:eastAsia="宋体" w:cs="宋体"/>
                <w:color w:val="000000"/>
                <w:sz w:val="24"/>
                <w:szCs w:val="24"/>
                <w:highlight w:val="none"/>
              </w:rPr>
              <w:t>招标</w:t>
            </w:r>
            <w:bookmarkEnd w:id="4"/>
            <w:r>
              <w:rPr>
                <w:rFonts w:hint="eastAsia" w:ascii="宋体" w:hAnsi="宋体" w:cs="宋体"/>
                <w:color w:val="000000"/>
                <w:sz w:val="24"/>
                <w:szCs w:val="24"/>
                <w:highlight w:val="none"/>
                <w:lang w:eastAsia="zh-CN"/>
              </w:rPr>
              <w:t>人</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r>
              <w:rPr>
                <w:rFonts w:hint="eastAsia" w:ascii="宋体" w:hAnsi="宋体" w:eastAsia="宋体" w:cs="宋体"/>
                <w:b w:val="0"/>
                <w:bCs w:val="0"/>
                <w:color w:val="0C0C0C"/>
                <w:sz w:val="24"/>
                <w:szCs w:val="24"/>
                <w:shd w:val="clear" w:color="auto" w:fill="FFFFFF"/>
              </w:rPr>
              <w:t>平利县</w:t>
            </w:r>
            <w:r>
              <w:rPr>
                <w:rFonts w:hint="eastAsia" w:ascii="宋体" w:hAnsi="宋体" w:eastAsia="宋体" w:cs="宋体"/>
                <w:b w:val="0"/>
                <w:bCs w:val="0"/>
                <w:color w:val="0C0C0C"/>
                <w:sz w:val="24"/>
                <w:szCs w:val="24"/>
                <w:shd w:val="clear" w:color="auto" w:fill="FFFFFF"/>
                <w:lang w:eastAsia="zh-CN"/>
              </w:rPr>
              <w:t>交通运输局</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lang w:val="en-US" w:eastAsia="zh-CN"/>
              </w:rPr>
              <w:t>陕西省安康市平利县城关镇陈家坝38号</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r>
              <w:rPr>
                <w:rFonts w:hint="eastAsia" w:ascii="宋体" w:hAnsi="宋体" w:eastAsia="宋体" w:cs="宋体"/>
                <w:color w:val="0C0C0C"/>
                <w:kern w:val="2"/>
                <w:sz w:val="24"/>
                <w:szCs w:val="24"/>
                <w:highlight w:val="none"/>
                <w:vertAlign w:val="baseline"/>
                <w:lang w:val="en-US" w:eastAsia="zh-CN" w:bidi="ar-SA"/>
              </w:rPr>
              <w:t>魏先生</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r>
              <w:rPr>
                <w:rFonts w:hint="default" w:ascii="宋体" w:hAnsi="宋体" w:eastAsia="宋体" w:cs="宋体"/>
                <w:color w:val="0C0C0C"/>
                <w:kern w:val="2"/>
                <w:sz w:val="24"/>
                <w:szCs w:val="24"/>
                <w:highlight w:val="none"/>
                <w:vertAlign w:val="baseline"/>
                <w:lang w:val="en-US" w:eastAsia="zh-CN" w:bidi="ar-SA"/>
              </w:rPr>
              <w:t>0915-2295317</w:t>
            </w:r>
          </w:p>
        </w:tc>
      </w:tr>
      <w:tr>
        <w:tblPrEx>
          <w:tblCellMar>
            <w:top w:w="0" w:type="dxa"/>
            <w:left w:w="108" w:type="dxa"/>
            <w:bottom w:w="0" w:type="dxa"/>
            <w:right w:w="108" w:type="dxa"/>
          </w:tblCellMar>
        </w:tblPrEx>
        <w:trPr>
          <w:trHeight w:val="120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5" w:name="_Toc221950014"/>
            <w:r>
              <w:rPr>
                <w:rFonts w:hint="eastAsia" w:ascii="宋体" w:hAnsi="宋体" w:eastAsia="宋体" w:cs="宋体"/>
                <w:color w:val="000000"/>
                <w:sz w:val="24"/>
                <w:szCs w:val="24"/>
                <w:highlight w:val="none"/>
              </w:rPr>
              <w:t>1.1.3</w:t>
            </w:r>
            <w:bookmarkEnd w:id="5"/>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6" w:name="_Toc221950015"/>
            <w:r>
              <w:rPr>
                <w:rFonts w:hint="eastAsia" w:ascii="宋体" w:hAnsi="宋体" w:eastAsia="宋体" w:cs="宋体"/>
                <w:color w:val="000000"/>
                <w:sz w:val="24"/>
                <w:szCs w:val="24"/>
                <w:highlight w:val="none"/>
              </w:rPr>
              <w:t>招标代理机构</w:t>
            </w:r>
            <w:bookmarkEnd w:id="6"/>
            <w:r>
              <w:rPr>
                <w:rFonts w:hint="eastAsia" w:ascii="宋体" w:hAnsi="宋体" w:eastAsia="宋体" w:cs="宋体"/>
                <w:color w:val="000000"/>
                <w:sz w:val="24"/>
                <w:szCs w:val="24"/>
                <w:highlight w:val="none"/>
              </w:rPr>
              <w:t xml:space="preserve"> </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名称：安康市兴盛工程造价咨询有限公司  </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地址：平利县水晶郦城10号楼2单元201室</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r>
              <w:rPr>
                <w:rFonts w:hint="eastAsia" w:ascii="宋体" w:hAnsi="宋体" w:eastAsia="宋体" w:cs="宋体"/>
                <w:color w:val="0C0C0C"/>
                <w:kern w:val="2"/>
                <w:sz w:val="24"/>
                <w:szCs w:val="24"/>
                <w:vertAlign w:val="baseline"/>
                <w:lang w:val="en-US" w:eastAsia="zh-CN" w:bidi="ar-SA"/>
              </w:rPr>
              <w:t>刘镇</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r>
              <w:rPr>
                <w:rFonts w:hint="eastAsia" w:ascii="宋体" w:hAnsi="宋体" w:eastAsia="宋体" w:cs="宋体"/>
                <w:color w:val="0C0C0C"/>
                <w:kern w:val="2"/>
                <w:sz w:val="24"/>
                <w:szCs w:val="24"/>
                <w:vertAlign w:val="baseline"/>
                <w:lang w:val="en-US" w:eastAsia="zh-CN" w:bidi="ar-SA"/>
              </w:rPr>
              <w:t>15591591985</w:t>
            </w:r>
          </w:p>
        </w:tc>
      </w:tr>
      <w:tr>
        <w:tblPrEx>
          <w:tblCellMar>
            <w:top w:w="0" w:type="dxa"/>
            <w:left w:w="108" w:type="dxa"/>
            <w:bottom w:w="0" w:type="dxa"/>
            <w:right w:w="108" w:type="dxa"/>
          </w:tblCellMar>
        </w:tblPrEx>
        <w:trPr>
          <w:trHeight w:val="511"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7" w:name="_Toc221950016"/>
            <w:r>
              <w:rPr>
                <w:rFonts w:hint="eastAsia" w:ascii="宋体" w:hAnsi="宋体" w:eastAsia="宋体" w:cs="宋体"/>
                <w:color w:val="000000"/>
                <w:sz w:val="24"/>
                <w:szCs w:val="24"/>
                <w:highlight w:val="none"/>
              </w:rPr>
              <w:t>1.1.4</w:t>
            </w:r>
            <w:bookmarkEnd w:id="7"/>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8" w:name="_Toc221950017"/>
            <w:r>
              <w:rPr>
                <w:rFonts w:hint="eastAsia" w:ascii="宋体" w:hAnsi="宋体" w:cs="宋体"/>
                <w:color w:val="000000"/>
                <w:sz w:val="24"/>
                <w:szCs w:val="24"/>
                <w:highlight w:val="none"/>
                <w:lang w:eastAsia="zh-CN"/>
              </w:rPr>
              <w:t>招标</w:t>
            </w:r>
            <w:r>
              <w:rPr>
                <w:rFonts w:hint="eastAsia" w:ascii="宋体" w:hAnsi="宋体" w:eastAsia="宋体" w:cs="宋体"/>
                <w:color w:val="000000"/>
                <w:sz w:val="24"/>
                <w:szCs w:val="24"/>
                <w:highlight w:val="none"/>
              </w:rPr>
              <w:t>项目名称</w:t>
            </w:r>
            <w:bookmarkEnd w:id="8"/>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sz w:val="24"/>
                <w:lang w:val="en-US" w:eastAsia="zh-CN"/>
              </w:rPr>
              <w:t>346国道老县镇至蒋家坪公路工程</w:t>
            </w:r>
          </w:p>
        </w:tc>
      </w:tr>
      <w:tr>
        <w:tblPrEx>
          <w:tblCellMar>
            <w:top w:w="0" w:type="dxa"/>
            <w:left w:w="108" w:type="dxa"/>
            <w:bottom w:w="0" w:type="dxa"/>
            <w:right w:w="108" w:type="dxa"/>
          </w:tblCellMar>
        </w:tblPrEx>
        <w:trPr>
          <w:trHeight w:val="452"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9" w:name="_Toc221950018"/>
            <w:r>
              <w:rPr>
                <w:rFonts w:hint="eastAsia" w:ascii="宋体" w:hAnsi="宋体" w:eastAsia="宋体" w:cs="宋体"/>
                <w:color w:val="000000"/>
                <w:sz w:val="24"/>
                <w:szCs w:val="24"/>
                <w:highlight w:val="none"/>
              </w:rPr>
              <w:t>1.1.5</w:t>
            </w:r>
            <w:bookmarkEnd w:id="9"/>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10" w:name="_Toc221950019"/>
            <w:r>
              <w:rPr>
                <w:rFonts w:hint="eastAsia" w:ascii="宋体" w:hAnsi="宋体" w:cs="宋体"/>
                <w:color w:val="000000"/>
                <w:sz w:val="24"/>
                <w:szCs w:val="24"/>
                <w:highlight w:val="none"/>
                <w:lang w:eastAsia="zh-CN"/>
              </w:rPr>
              <w:t>标段</w:t>
            </w:r>
            <w:r>
              <w:rPr>
                <w:rFonts w:hint="eastAsia" w:ascii="宋体" w:hAnsi="宋体" w:eastAsia="宋体" w:cs="宋体"/>
                <w:color w:val="000000"/>
                <w:sz w:val="24"/>
                <w:szCs w:val="24"/>
                <w:highlight w:val="none"/>
              </w:rPr>
              <w:t>建设地点</w:t>
            </w:r>
            <w:bookmarkEnd w:id="10"/>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C0C0C"/>
                <w:kern w:val="2"/>
                <w:sz w:val="24"/>
                <w:szCs w:val="24"/>
                <w:highlight w:val="none"/>
                <w:lang w:val="en-US" w:eastAsia="zh-CN" w:bidi="ar-SA"/>
              </w:rPr>
              <w:t>平利县老县镇</w:t>
            </w:r>
          </w:p>
        </w:tc>
      </w:tr>
      <w:tr>
        <w:tblPrEx>
          <w:tblCellMar>
            <w:top w:w="0" w:type="dxa"/>
            <w:left w:w="108" w:type="dxa"/>
            <w:bottom w:w="0" w:type="dxa"/>
            <w:right w:w="108" w:type="dxa"/>
          </w:tblCellMar>
        </w:tblPrEx>
        <w:trPr>
          <w:trHeight w:val="452"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11" w:name="_Toc221950030"/>
            <w:r>
              <w:rPr>
                <w:rFonts w:hint="eastAsia" w:ascii="宋体" w:hAnsi="宋体" w:eastAsia="宋体" w:cs="宋体"/>
                <w:color w:val="000000"/>
                <w:sz w:val="24"/>
                <w:szCs w:val="24"/>
                <w:highlight w:val="none"/>
              </w:rPr>
              <w:t>1.2.1</w:t>
            </w:r>
            <w:bookmarkEnd w:id="11"/>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12" w:name="_Toc221950031"/>
            <w:r>
              <w:rPr>
                <w:rFonts w:hint="eastAsia" w:ascii="宋体" w:hAnsi="宋体" w:eastAsia="宋体" w:cs="宋体"/>
                <w:color w:val="000000"/>
                <w:sz w:val="24"/>
                <w:szCs w:val="24"/>
                <w:highlight w:val="none"/>
              </w:rPr>
              <w:t>资金来源</w:t>
            </w:r>
            <w:bookmarkEnd w:id="12"/>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上级补助及自筹</w:t>
            </w:r>
          </w:p>
        </w:tc>
      </w:tr>
      <w:tr>
        <w:tblPrEx>
          <w:tblCellMar>
            <w:top w:w="0" w:type="dxa"/>
            <w:left w:w="108" w:type="dxa"/>
            <w:bottom w:w="0" w:type="dxa"/>
            <w:right w:w="108" w:type="dxa"/>
          </w:tblCellMar>
        </w:tblPrEx>
        <w:trPr>
          <w:trHeight w:val="443"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13" w:name="_Toc221950032"/>
            <w:r>
              <w:rPr>
                <w:rFonts w:hint="eastAsia" w:ascii="宋体" w:hAnsi="宋体" w:eastAsia="宋体" w:cs="宋体"/>
                <w:color w:val="000000"/>
                <w:sz w:val="24"/>
                <w:szCs w:val="24"/>
                <w:highlight w:val="none"/>
              </w:rPr>
              <w:t>1.2.2</w:t>
            </w:r>
            <w:bookmarkEnd w:id="13"/>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资金落实情况</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已落实</w:t>
            </w:r>
          </w:p>
        </w:tc>
      </w:tr>
      <w:tr>
        <w:tblPrEx>
          <w:tblCellMar>
            <w:top w:w="0" w:type="dxa"/>
            <w:left w:w="108" w:type="dxa"/>
            <w:bottom w:w="0" w:type="dxa"/>
            <w:right w:w="108" w:type="dxa"/>
          </w:tblCellMar>
        </w:tblPrEx>
        <w:trPr>
          <w:trHeight w:val="1227"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14" w:name="_Toc221950036"/>
            <w:r>
              <w:rPr>
                <w:rFonts w:hint="eastAsia" w:ascii="宋体" w:hAnsi="宋体" w:eastAsia="宋体" w:cs="宋体"/>
                <w:color w:val="000000"/>
                <w:sz w:val="24"/>
                <w:szCs w:val="24"/>
                <w:highlight w:val="none"/>
              </w:rPr>
              <w:t>1.3.1</w:t>
            </w:r>
            <w:bookmarkEnd w:id="14"/>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15" w:name="_Toc221950037"/>
            <w:r>
              <w:rPr>
                <w:rFonts w:hint="eastAsia" w:ascii="宋体" w:hAnsi="宋体" w:eastAsia="宋体" w:cs="宋体"/>
                <w:color w:val="000000"/>
                <w:sz w:val="24"/>
                <w:szCs w:val="24"/>
                <w:highlight w:val="none"/>
              </w:rPr>
              <w:t>招标范围</w:t>
            </w:r>
            <w:bookmarkEnd w:id="15"/>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val="0"/>
                <w:bCs w:val="0"/>
                <w:color w:val="0C0C0C"/>
                <w:sz w:val="24"/>
                <w:szCs w:val="24"/>
                <w:shd w:val="clear" w:color="auto" w:fill="FFFFFF"/>
                <w:lang w:val="en-US" w:eastAsia="zh-CN"/>
              </w:rPr>
              <w:t>本项目标段施工图设计范围内的全部路基、路面、桥涵、交叉工程、安全设施及环境保护等施工准备、施工、缺陷修复等全部工作。</w:t>
            </w:r>
          </w:p>
        </w:tc>
      </w:tr>
      <w:tr>
        <w:tblPrEx>
          <w:tblCellMar>
            <w:top w:w="0" w:type="dxa"/>
            <w:left w:w="108" w:type="dxa"/>
            <w:bottom w:w="0" w:type="dxa"/>
            <w:right w:w="108" w:type="dxa"/>
          </w:tblCellMar>
        </w:tblPrEx>
        <w:trPr>
          <w:trHeight w:val="489"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16" w:name="_Toc221950038"/>
            <w:r>
              <w:rPr>
                <w:rFonts w:hint="eastAsia" w:ascii="宋体" w:hAnsi="宋体" w:eastAsia="宋体" w:cs="宋体"/>
                <w:color w:val="000000"/>
                <w:sz w:val="24"/>
                <w:szCs w:val="24"/>
                <w:highlight w:val="none"/>
              </w:rPr>
              <w:t>1.3.2</w:t>
            </w:r>
            <w:bookmarkEnd w:id="16"/>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计划工期</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val="0"/>
              <w:kinsoku/>
              <w:overflowPunct/>
              <w:topLinePunct w:val="0"/>
              <w:autoSpaceDE/>
              <w:autoSpaceDN/>
              <w:bidi w:val="0"/>
              <w:adjustRightInd/>
              <w:snapToGrid/>
              <w:spacing w:line="440" w:lineRule="exact"/>
              <w:ind w:left="0" w:leftChars="0" w:firstLine="0" w:firstLineChars="0"/>
              <w:textAlignment w:val="auto"/>
              <w:rPr>
                <w:rFonts w:hint="eastAsia"/>
                <w:lang w:val="en-US" w:eastAsia="zh-CN"/>
              </w:rPr>
            </w:pPr>
            <w:r>
              <w:rPr>
                <w:rFonts w:hint="eastAsia" w:ascii="Times New Roman" w:hAnsi="Times New Roman" w:eastAsia="宋体" w:cs="Times New Roman"/>
                <w:kern w:val="2"/>
                <w:sz w:val="24"/>
                <w:szCs w:val="24"/>
                <w:highlight w:val="none"/>
                <w:lang w:val="en-US" w:eastAsia="zh-CN" w:bidi="ar-SA"/>
              </w:rPr>
              <w:t>计划工期：</w:t>
            </w:r>
            <w:r>
              <w:rPr>
                <w:rFonts w:hint="eastAsia" w:asciiTheme="minorEastAsia" w:hAnsiTheme="minorEastAsia" w:eastAsiaTheme="minorEastAsia" w:cstheme="minorEastAsia"/>
                <w:kern w:val="2"/>
                <w:sz w:val="24"/>
                <w:szCs w:val="24"/>
                <w:highlight w:val="none"/>
                <w:lang w:val="en-US" w:eastAsia="zh-CN" w:bidi="ar-SA"/>
              </w:rPr>
              <w:t>365</w:t>
            </w:r>
            <w:r>
              <w:rPr>
                <w:rFonts w:hint="eastAsia" w:ascii="Times New Roman" w:hAnsi="Times New Roman" w:eastAsia="宋体" w:cs="Times New Roman"/>
                <w:kern w:val="2"/>
                <w:sz w:val="24"/>
                <w:szCs w:val="24"/>
                <w:highlight w:val="none"/>
                <w:lang w:val="en-US" w:eastAsia="zh-CN" w:bidi="ar-SA"/>
              </w:rPr>
              <w:t>天</w:t>
            </w:r>
          </w:p>
        </w:tc>
      </w:tr>
      <w:tr>
        <w:tblPrEx>
          <w:tblCellMar>
            <w:top w:w="0" w:type="dxa"/>
            <w:left w:w="108" w:type="dxa"/>
            <w:bottom w:w="0" w:type="dxa"/>
            <w:right w:w="108" w:type="dxa"/>
          </w:tblCellMar>
        </w:tblPrEx>
        <w:trPr>
          <w:trHeight w:val="46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17" w:name="_Toc221950043"/>
            <w:r>
              <w:rPr>
                <w:rFonts w:hint="eastAsia" w:ascii="宋体" w:hAnsi="宋体" w:eastAsia="宋体" w:cs="宋体"/>
                <w:color w:val="000000"/>
                <w:sz w:val="24"/>
                <w:szCs w:val="24"/>
                <w:highlight w:val="none"/>
              </w:rPr>
              <w:t>1.3.3</w:t>
            </w:r>
            <w:bookmarkEnd w:id="17"/>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18" w:name="_Toc221950044"/>
            <w:r>
              <w:rPr>
                <w:rFonts w:hint="eastAsia" w:ascii="宋体" w:hAnsi="宋体" w:eastAsia="宋体" w:cs="宋体"/>
                <w:color w:val="000000"/>
                <w:sz w:val="24"/>
                <w:szCs w:val="24"/>
                <w:highlight w:val="none"/>
              </w:rPr>
              <w:t>质量要求</w:t>
            </w:r>
            <w:bookmarkEnd w:id="18"/>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宋体" w:hAnsi="宋体" w:eastAsia="宋体" w:cs="宋体"/>
                <w:color w:val="000000"/>
                <w:sz w:val="24"/>
                <w:szCs w:val="24"/>
                <w:highlight w:val="none"/>
                <w:lang w:eastAsia="zh-CN"/>
              </w:rPr>
            </w:pPr>
            <w:r>
              <w:rPr>
                <w:rFonts w:hint="eastAsia"/>
                <w:sz w:val="24"/>
                <w:szCs w:val="24"/>
                <w:highlight w:val="none"/>
              </w:rPr>
              <w:t>达到</w:t>
            </w:r>
            <w:r>
              <w:rPr>
                <w:rFonts w:hint="eastAsia" w:eastAsia="宋体"/>
                <w:sz w:val="24"/>
                <w:szCs w:val="24"/>
                <w:highlight w:val="none"/>
                <w:lang w:eastAsia="zh-CN"/>
              </w:rPr>
              <w:t>国家施工</w:t>
            </w:r>
            <w:r>
              <w:rPr>
                <w:rFonts w:hint="eastAsia"/>
                <w:sz w:val="24"/>
                <w:szCs w:val="24"/>
                <w:highlight w:val="none"/>
              </w:rPr>
              <w:t>验收</w:t>
            </w:r>
            <w:r>
              <w:rPr>
                <w:rFonts w:hint="eastAsia" w:eastAsia="宋体"/>
                <w:sz w:val="24"/>
                <w:szCs w:val="24"/>
                <w:highlight w:val="none"/>
                <w:lang w:eastAsia="zh-CN"/>
              </w:rPr>
              <w:t>规范合格</w:t>
            </w:r>
            <w:r>
              <w:rPr>
                <w:rFonts w:hint="eastAsia"/>
                <w:sz w:val="24"/>
                <w:szCs w:val="24"/>
                <w:highlight w:val="none"/>
              </w:rPr>
              <w:t>标准</w:t>
            </w:r>
          </w:p>
        </w:tc>
      </w:tr>
      <w:tr>
        <w:tblPrEx>
          <w:tblCellMar>
            <w:top w:w="0" w:type="dxa"/>
            <w:left w:w="108" w:type="dxa"/>
            <w:bottom w:w="0" w:type="dxa"/>
            <w:right w:w="108" w:type="dxa"/>
          </w:tblCellMar>
        </w:tblPrEx>
        <w:trPr>
          <w:trHeight w:val="486"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1.3.4</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安全目标</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eastAsia="宋体"/>
                <w:sz w:val="24"/>
                <w:szCs w:val="24"/>
                <w:highlight w:val="none"/>
                <w:lang w:eastAsia="zh-CN"/>
              </w:rPr>
            </w:pPr>
            <w:r>
              <w:rPr>
                <w:rFonts w:hint="eastAsia" w:eastAsia="宋体"/>
                <w:sz w:val="24"/>
                <w:szCs w:val="24"/>
                <w:highlight w:val="none"/>
                <w:lang w:eastAsia="zh-CN"/>
              </w:rPr>
              <w:t>无重大安全事故</w:t>
            </w:r>
          </w:p>
        </w:tc>
      </w:tr>
      <w:tr>
        <w:tblPrEx>
          <w:tblCellMar>
            <w:top w:w="0" w:type="dxa"/>
            <w:left w:w="108" w:type="dxa"/>
            <w:bottom w:w="0" w:type="dxa"/>
            <w:right w:w="108" w:type="dxa"/>
          </w:tblCellMar>
        </w:tblPrEx>
        <w:trPr>
          <w:trHeight w:val="2198"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19" w:name="_Toc221950045"/>
            <w:r>
              <w:rPr>
                <w:rFonts w:hint="eastAsia" w:ascii="宋体" w:hAnsi="宋体" w:eastAsia="宋体" w:cs="宋体"/>
                <w:color w:val="000000"/>
                <w:sz w:val="24"/>
                <w:szCs w:val="24"/>
                <w:highlight w:val="none"/>
              </w:rPr>
              <w:t>1.4.1</w:t>
            </w:r>
            <w:bookmarkEnd w:id="19"/>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20" w:name="_Toc221950046"/>
            <w:r>
              <w:rPr>
                <w:rFonts w:hint="eastAsia" w:ascii="宋体" w:hAnsi="宋体" w:eastAsia="宋体" w:cs="宋体"/>
                <w:color w:val="000000"/>
                <w:sz w:val="24"/>
                <w:szCs w:val="24"/>
                <w:highlight w:val="none"/>
              </w:rPr>
              <w:t>投标人资质条件、</w:t>
            </w:r>
          </w:p>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能力</w:t>
            </w:r>
            <w:r>
              <w:rPr>
                <w:rFonts w:hint="eastAsia" w:ascii="宋体" w:hAnsi="宋体" w:cs="宋体"/>
                <w:color w:val="000000"/>
                <w:sz w:val="24"/>
                <w:szCs w:val="24"/>
                <w:highlight w:val="none"/>
                <w:lang w:eastAsia="zh-CN"/>
              </w:rPr>
              <w:t>和</w:t>
            </w:r>
            <w:r>
              <w:rPr>
                <w:rFonts w:hint="eastAsia" w:ascii="宋体" w:hAnsi="宋体" w:eastAsia="宋体" w:cs="宋体"/>
                <w:color w:val="000000"/>
                <w:sz w:val="24"/>
                <w:szCs w:val="24"/>
                <w:highlight w:val="none"/>
              </w:rPr>
              <w:t>信誉</w:t>
            </w:r>
            <w:bookmarkEnd w:id="20"/>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资质条件：</w:t>
            </w:r>
            <w:r>
              <w:rPr>
                <w:rFonts w:hint="eastAsia" w:asciiTheme="minorEastAsia" w:hAnsiTheme="minorEastAsia" w:eastAsiaTheme="minorEastAsia" w:cstheme="minorEastAsia"/>
                <w:sz w:val="24"/>
                <w:szCs w:val="24"/>
                <w:highlight w:val="none"/>
                <w:lang w:eastAsia="zh-CN"/>
              </w:rPr>
              <w:t>见附录</w:t>
            </w:r>
            <w:r>
              <w:rPr>
                <w:rFonts w:hint="eastAsia" w:asciiTheme="minorEastAsia" w:hAnsiTheme="minorEastAsia" w:eastAsiaTheme="minorEastAsia" w:cstheme="minorEastAsia"/>
                <w:sz w:val="24"/>
                <w:szCs w:val="24"/>
                <w:highlight w:val="none"/>
                <w:lang w:val="en-US" w:eastAsia="zh-CN"/>
              </w:rPr>
              <w:t>1</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财务要求：</w:t>
            </w:r>
            <w:r>
              <w:rPr>
                <w:rFonts w:hint="eastAsia" w:asciiTheme="minorEastAsia" w:hAnsiTheme="minorEastAsia" w:eastAsiaTheme="minorEastAsia" w:cstheme="minorEastAsia"/>
                <w:sz w:val="24"/>
                <w:szCs w:val="24"/>
                <w:highlight w:val="none"/>
                <w:lang w:eastAsia="zh-CN"/>
              </w:rPr>
              <w:t>见附录</w:t>
            </w:r>
            <w:r>
              <w:rPr>
                <w:rFonts w:hint="eastAsia" w:asciiTheme="minorEastAsia" w:hAnsiTheme="minorEastAsia" w:eastAsiaTheme="minorEastAsia" w:cstheme="minorEastAsia"/>
                <w:sz w:val="24"/>
                <w:szCs w:val="24"/>
                <w:highlight w:val="none"/>
                <w:lang w:val="en-US" w:eastAsia="zh-CN"/>
              </w:rPr>
              <w:t>2</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业绩</w:t>
            </w:r>
            <w:r>
              <w:rPr>
                <w:rFonts w:hint="eastAsia" w:asciiTheme="minorEastAsia" w:hAnsiTheme="minorEastAsia" w:eastAsiaTheme="minorEastAsia" w:cstheme="minorEastAsia"/>
                <w:sz w:val="24"/>
                <w:szCs w:val="24"/>
                <w:highlight w:val="none"/>
              </w:rPr>
              <w:t>要求：</w:t>
            </w:r>
            <w:r>
              <w:rPr>
                <w:rFonts w:hint="eastAsia" w:asciiTheme="minorEastAsia" w:hAnsiTheme="minorEastAsia" w:eastAsiaTheme="minorEastAsia" w:cstheme="minorEastAsia"/>
                <w:sz w:val="24"/>
                <w:szCs w:val="24"/>
                <w:highlight w:val="none"/>
                <w:lang w:eastAsia="zh-CN"/>
              </w:rPr>
              <w:t>见附录</w:t>
            </w:r>
            <w:r>
              <w:rPr>
                <w:rFonts w:hint="eastAsia" w:asciiTheme="minorEastAsia" w:hAnsiTheme="minorEastAsia" w:eastAsiaTheme="minorEastAsia" w:cstheme="minorEastAsia"/>
                <w:sz w:val="24"/>
                <w:szCs w:val="24"/>
                <w:highlight w:val="none"/>
                <w:lang w:val="en-US" w:eastAsia="zh-CN"/>
              </w:rPr>
              <w:t>3</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信誉要求：见附录4</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项目经理和项目总工要求：见附录5</w:t>
            </w:r>
          </w:p>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lang w:val="en-US" w:eastAsia="zh-CN"/>
              </w:rPr>
            </w:pPr>
            <w:r>
              <w:rPr>
                <w:rFonts w:hint="eastAsia" w:asciiTheme="minorEastAsia" w:hAnsiTheme="minorEastAsia" w:eastAsiaTheme="minorEastAsia" w:cstheme="minorEastAsia"/>
                <w:sz w:val="24"/>
                <w:szCs w:val="24"/>
                <w:highlight w:val="none"/>
                <w:lang w:eastAsia="zh-CN"/>
              </w:rPr>
              <w:t>其他要求：详见附录</w:t>
            </w:r>
          </w:p>
        </w:tc>
      </w:tr>
      <w:tr>
        <w:tblPrEx>
          <w:tblCellMar>
            <w:top w:w="0" w:type="dxa"/>
            <w:left w:w="108" w:type="dxa"/>
            <w:bottom w:w="0" w:type="dxa"/>
            <w:right w:w="108" w:type="dxa"/>
          </w:tblCellMar>
        </w:tblPrEx>
        <w:trPr>
          <w:trHeight w:val="52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是否接受联合体投标</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不接受</w:t>
            </w:r>
            <w:r>
              <w:rPr>
                <w:rFonts w:hint="eastAsia" w:ascii="宋体" w:hAnsi="宋体" w:cs="宋体"/>
                <w:color w:val="000000"/>
                <w:sz w:val="24"/>
                <w:szCs w:val="24"/>
                <w:highlight w:val="none"/>
                <w:lang w:val="en-US" w:eastAsia="zh-CN"/>
              </w:rPr>
              <w:t xml:space="preserve">   </w:t>
            </w:r>
          </w:p>
        </w:tc>
      </w:tr>
      <w:tr>
        <w:tblPrEx>
          <w:tblCellMar>
            <w:top w:w="0" w:type="dxa"/>
            <w:left w:w="108" w:type="dxa"/>
            <w:bottom w:w="0" w:type="dxa"/>
            <w:right w:w="108" w:type="dxa"/>
          </w:tblCellMar>
        </w:tblPrEx>
        <w:trPr>
          <w:trHeight w:val="507"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1.4.3</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投标人不得存在的</w:t>
            </w:r>
          </w:p>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其他关联情形</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投标人须知正文第1.4.3条款规定的情形</w:t>
            </w:r>
          </w:p>
        </w:tc>
      </w:tr>
      <w:tr>
        <w:tblPrEx>
          <w:tblCellMar>
            <w:top w:w="0" w:type="dxa"/>
            <w:left w:w="108" w:type="dxa"/>
            <w:bottom w:w="0" w:type="dxa"/>
            <w:right w:w="108" w:type="dxa"/>
          </w:tblCellMar>
        </w:tblPrEx>
        <w:trPr>
          <w:trHeight w:val="913"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1.4.4</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投标人不得存在的</w:t>
            </w:r>
          </w:p>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其他不良状况或不良信用记录</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投标人须知正文第1.4.4条款规定的不良状况或不良信用</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记录</w:t>
            </w:r>
          </w:p>
        </w:tc>
      </w:tr>
      <w:tr>
        <w:tblPrEx>
          <w:tblCellMar>
            <w:top w:w="0" w:type="dxa"/>
            <w:left w:w="108" w:type="dxa"/>
            <w:bottom w:w="0" w:type="dxa"/>
            <w:right w:w="108" w:type="dxa"/>
          </w:tblCellMar>
        </w:tblPrEx>
        <w:trPr>
          <w:trHeight w:val="406"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1.10</w:t>
            </w:r>
            <w:r>
              <w:rPr>
                <w:rFonts w:hint="eastAsia" w:asciiTheme="minorEastAsia" w:hAnsiTheme="minorEastAsia" w:eastAsiaTheme="minorEastAsia" w:cstheme="minorEastAsia"/>
                <w:color w:val="000000"/>
                <w:sz w:val="24"/>
                <w:szCs w:val="24"/>
                <w:highlight w:val="none"/>
                <w:lang w:val="en-US" w:eastAsia="zh-CN"/>
              </w:rPr>
              <w:t>.2</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投标人在投标</w:t>
            </w:r>
          </w:p>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预备会</w:t>
            </w:r>
            <w:r>
              <w:rPr>
                <w:rFonts w:hint="eastAsia" w:asciiTheme="minorEastAsia" w:hAnsiTheme="minorEastAsia" w:eastAsiaTheme="minorEastAsia" w:cstheme="minorEastAsia"/>
                <w:color w:val="000000"/>
                <w:sz w:val="24"/>
                <w:szCs w:val="24"/>
                <w:highlight w:val="none"/>
                <w:lang w:eastAsia="zh-CN"/>
              </w:rPr>
              <w:t>前提出问题</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不组织</w:t>
            </w:r>
          </w:p>
        </w:tc>
      </w:tr>
      <w:tr>
        <w:tblPrEx>
          <w:tblCellMar>
            <w:top w:w="0" w:type="dxa"/>
            <w:left w:w="108" w:type="dxa"/>
            <w:bottom w:w="0" w:type="dxa"/>
            <w:right w:w="108" w:type="dxa"/>
          </w:tblCellMar>
        </w:tblPrEx>
        <w:trPr>
          <w:trHeight w:val="489"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default" w:ascii="宋体" w:hAnsi="宋体" w:eastAsia="宋体" w:cs="宋体"/>
                <w:color w:val="000000"/>
                <w:sz w:val="24"/>
                <w:szCs w:val="24"/>
                <w:highlight w:val="none"/>
                <w:lang w:val="en-US" w:eastAsia="zh-CN"/>
              </w:rPr>
            </w:pPr>
            <w:bookmarkStart w:id="21" w:name="_Toc221950053"/>
            <w:r>
              <w:rPr>
                <w:rFonts w:hint="eastAsia" w:ascii="宋体" w:hAnsi="宋体" w:eastAsia="宋体" w:cs="宋体"/>
                <w:color w:val="000000"/>
                <w:sz w:val="24"/>
                <w:szCs w:val="24"/>
                <w:highlight w:val="none"/>
              </w:rPr>
              <w:t>1.11</w:t>
            </w:r>
            <w:bookmarkEnd w:id="21"/>
            <w:r>
              <w:rPr>
                <w:rFonts w:hint="eastAsia" w:ascii="宋体" w:hAnsi="宋体" w:cs="宋体"/>
                <w:color w:val="000000"/>
                <w:sz w:val="24"/>
                <w:szCs w:val="24"/>
                <w:highlight w:val="none"/>
                <w:lang w:val="en-US" w:eastAsia="zh-CN"/>
              </w:rPr>
              <w:t>.1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22" w:name="_Toc221950054"/>
            <w:r>
              <w:rPr>
                <w:rFonts w:hint="eastAsia" w:ascii="宋体" w:hAnsi="宋体" w:eastAsia="宋体" w:cs="宋体"/>
                <w:color w:val="000000"/>
                <w:sz w:val="24"/>
                <w:szCs w:val="24"/>
                <w:highlight w:val="none"/>
              </w:rPr>
              <w:t>分包</w:t>
            </w:r>
            <w:bookmarkEnd w:id="22"/>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不允许</w:t>
            </w:r>
          </w:p>
        </w:tc>
      </w:tr>
      <w:tr>
        <w:tblPrEx>
          <w:tblCellMar>
            <w:top w:w="0" w:type="dxa"/>
            <w:left w:w="108" w:type="dxa"/>
            <w:bottom w:w="0" w:type="dxa"/>
            <w:right w:w="108" w:type="dxa"/>
          </w:tblCellMar>
        </w:tblPrEx>
        <w:trPr>
          <w:trHeight w:val="31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构成招标文件</w:t>
            </w:r>
          </w:p>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的其他材料</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招标文件的</w:t>
            </w:r>
            <w:r>
              <w:rPr>
                <w:rFonts w:hint="eastAsia" w:ascii="宋体" w:hAnsi="宋体" w:eastAsia="宋体" w:cs="宋体"/>
                <w:color w:val="000000"/>
                <w:sz w:val="24"/>
                <w:szCs w:val="24"/>
                <w:highlight w:val="none"/>
              </w:rPr>
              <w:t>澄清和补充</w:t>
            </w:r>
            <w:r>
              <w:rPr>
                <w:rFonts w:hint="eastAsia" w:ascii="宋体" w:hAnsi="宋体" w:cs="宋体"/>
                <w:color w:val="000000"/>
                <w:sz w:val="24"/>
                <w:szCs w:val="24"/>
                <w:highlight w:val="none"/>
                <w:lang w:eastAsia="zh-CN"/>
              </w:rPr>
              <w:t>及招标人提供的其他技术资料</w:t>
            </w:r>
          </w:p>
        </w:tc>
      </w:tr>
      <w:tr>
        <w:tblPrEx>
          <w:tblCellMar>
            <w:top w:w="0" w:type="dxa"/>
            <w:left w:w="108" w:type="dxa"/>
            <w:bottom w:w="0" w:type="dxa"/>
            <w:right w:w="108" w:type="dxa"/>
          </w:tblCellMar>
        </w:tblPrEx>
        <w:trPr>
          <w:trHeight w:val="531" w:hRule="atLeast"/>
          <w:jc w:val="center"/>
        </w:trPr>
        <w:tc>
          <w:tcPr>
            <w:tcW w:w="94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w:t>
            </w:r>
          </w:p>
        </w:tc>
        <w:tc>
          <w:tcPr>
            <w:tcW w:w="23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投标人要求</w:t>
            </w:r>
          </w:p>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澄清招标文件</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时间：</w:t>
            </w:r>
            <w:r>
              <w:rPr>
                <w:rFonts w:hint="eastAsia" w:ascii="宋体" w:hAnsi="宋体" w:eastAsia="宋体" w:cs="宋体"/>
                <w:color w:val="000000"/>
                <w:sz w:val="24"/>
                <w:szCs w:val="24"/>
                <w:highlight w:val="none"/>
                <w:lang w:eastAsia="zh-CN"/>
              </w:rPr>
              <w:t>投标文件递交截止时间</w:t>
            </w:r>
            <w:r>
              <w:rPr>
                <w:rFonts w:hint="eastAsia" w:ascii="宋体" w:hAnsi="宋体" w:eastAsia="宋体" w:cs="宋体"/>
                <w:color w:val="000000"/>
                <w:sz w:val="24"/>
                <w:szCs w:val="24"/>
                <w:highlight w:val="none"/>
              </w:rPr>
              <w:t>10</w:t>
            </w:r>
            <w:r>
              <w:rPr>
                <w:rFonts w:hint="eastAsia" w:ascii="宋体" w:hAnsi="宋体" w:cs="宋体"/>
                <w:color w:val="000000"/>
                <w:sz w:val="24"/>
                <w:szCs w:val="24"/>
                <w:highlight w:val="none"/>
                <w:lang w:eastAsia="zh-CN"/>
              </w:rPr>
              <w:t>日</w:t>
            </w:r>
            <w:r>
              <w:rPr>
                <w:rFonts w:hint="eastAsia" w:ascii="宋体" w:hAnsi="宋体" w:eastAsia="宋体" w:cs="宋体"/>
                <w:color w:val="000000"/>
                <w:sz w:val="24"/>
                <w:szCs w:val="24"/>
                <w:highlight w:val="none"/>
              </w:rPr>
              <w:t>前</w:t>
            </w:r>
          </w:p>
        </w:tc>
      </w:tr>
      <w:tr>
        <w:tblPrEx>
          <w:tblCellMar>
            <w:top w:w="0" w:type="dxa"/>
            <w:left w:w="108" w:type="dxa"/>
            <w:bottom w:w="0" w:type="dxa"/>
            <w:right w:w="108" w:type="dxa"/>
          </w:tblCellMar>
        </w:tblPrEx>
        <w:trPr>
          <w:trHeight w:val="395" w:hRule="atLeast"/>
          <w:jc w:val="center"/>
        </w:trPr>
        <w:tc>
          <w:tcPr>
            <w:tcW w:w="94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textAlignment w:val="auto"/>
            </w:pPr>
          </w:p>
        </w:tc>
        <w:tc>
          <w:tcPr>
            <w:tcW w:w="23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textAlignment w:val="auto"/>
            </w:pP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形式：使用CA数字证书登录“陕西省公共资源交易平台”，在“投标答疑”菜单以书面形式要求招标人对招标文件予以澄清。</w:t>
            </w:r>
          </w:p>
        </w:tc>
      </w:tr>
      <w:tr>
        <w:tblPrEx>
          <w:tblCellMar>
            <w:top w:w="0" w:type="dxa"/>
            <w:left w:w="108" w:type="dxa"/>
            <w:bottom w:w="0" w:type="dxa"/>
            <w:right w:w="108" w:type="dxa"/>
          </w:tblCellMar>
        </w:tblPrEx>
        <w:trPr>
          <w:trHeight w:val="59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2.2.2</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招标文件</w:t>
            </w:r>
          </w:p>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澄清发出的形式</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通过“陕西省公共资交易平台”发布</w:t>
            </w:r>
          </w:p>
        </w:tc>
      </w:tr>
      <w:tr>
        <w:tblPrEx>
          <w:tblCellMar>
            <w:top w:w="0" w:type="dxa"/>
            <w:left w:w="108" w:type="dxa"/>
            <w:bottom w:w="0" w:type="dxa"/>
            <w:right w:w="108" w:type="dxa"/>
          </w:tblCellMar>
        </w:tblPrEx>
        <w:trPr>
          <w:trHeight w:val="575" w:hRule="atLeast"/>
          <w:jc w:val="center"/>
        </w:trPr>
        <w:tc>
          <w:tcPr>
            <w:tcW w:w="94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sz w:val="24"/>
                <w:szCs w:val="24"/>
              </w:rPr>
              <w:t>2.2.3</w:t>
            </w:r>
          </w:p>
        </w:tc>
        <w:tc>
          <w:tcPr>
            <w:tcW w:w="23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投标人确认收到</w:t>
            </w:r>
          </w:p>
          <w:p>
            <w:pPr>
              <w:keepNext w:val="0"/>
              <w:keepLines w:val="0"/>
              <w:pageBreakBefore w:val="0"/>
              <w:widowControl w:val="0"/>
              <w:kinsoku/>
              <w:wordWrap w:val="0"/>
              <w:overflowPunct/>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sz w:val="24"/>
                <w:szCs w:val="24"/>
              </w:rPr>
              <w:t>招标文件澄清</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textAlignment w:val="auto"/>
              <w:rPr>
                <w:rFonts w:hint="eastAsia" w:ascii="宋体" w:hAnsi="宋体" w:eastAsia="宋体" w:cs="宋体"/>
                <w:color w:val="auto"/>
                <w:sz w:val="24"/>
                <w:szCs w:val="24"/>
                <w:highlight w:val="yellow"/>
              </w:rPr>
            </w:pPr>
            <w:r>
              <w:rPr>
                <w:rFonts w:hint="eastAsia" w:asciiTheme="minorEastAsia" w:hAnsiTheme="minorEastAsia" w:eastAsiaTheme="minorEastAsia" w:cstheme="minorEastAsia"/>
                <w:sz w:val="24"/>
                <w:szCs w:val="24"/>
                <w:lang w:eastAsia="zh-CN"/>
              </w:rPr>
              <w:t>时间：收到招标文件澄清后的</w:t>
            </w:r>
            <w:r>
              <w:rPr>
                <w:rFonts w:hint="eastAsia" w:asciiTheme="minorEastAsia" w:hAnsiTheme="minorEastAsia" w:eastAsiaTheme="minorEastAsia" w:cstheme="minorEastAsia"/>
                <w:sz w:val="24"/>
                <w:szCs w:val="24"/>
                <w:lang w:val="en-US" w:eastAsia="zh-CN"/>
              </w:rPr>
              <w:t>24小时内（以发出时间为准）</w:t>
            </w:r>
          </w:p>
        </w:tc>
      </w:tr>
      <w:tr>
        <w:tblPrEx>
          <w:tblCellMar>
            <w:top w:w="0" w:type="dxa"/>
            <w:left w:w="108" w:type="dxa"/>
            <w:bottom w:w="0" w:type="dxa"/>
            <w:right w:w="108" w:type="dxa"/>
          </w:tblCellMar>
        </w:tblPrEx>
        <w:trPr>
          <w:trHeight w:val="519" w:hRule="atLeast"/>
          <w:jc w:val="center"/>
        </w:trPr>
        <w:tc>
          <w:tcPr>
            <w:tcW w:w="94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textAlignment w:val="auto"/>
            </w:pPr>
          </w:p>
        </w:tc>
        <w:tc>
          <w:tcPr>
            <w:tcW w:w="23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textAlignment w:val="auto"/>
            </w:pP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形式：确认函加盖公章并提交给招标人或招标代理机构</w:t>
            </w:r>
          </w:p>
        </w:tc>
      </w:tr>
      <w:tr>
        <w:tblPrEx>
          <w:tblCellMar>
            <w:top w:w="0" w:type="dxa"/>
            <w:left w:w="108" w:type="dxa"/>
            <w:bottom w:w="0" w:type="dxa"/>
            <w:right w:w="108" w:type="dxa"/>
          </w:tblCellMar>
        </w:tblPrEx>
        <w:trPr>
          <w:trHeight w:val="62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pPr>
              <w:keepNext w:val="0"/>
              <w:keepLines w:val="0"/>
              <w:pageBreakBefore w:val="0"/>
              <w:widowControl w:val="0"/>
              <w:kinsoku/>
              <w:wordWrap w:val="0"/>
              <w:overflowPunct/>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修改发出的形式</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通过“陕西省公共资交易平台”发布</w:t>
            </w:r>
          </w:p>
        </w:tc>
      </w:tr>
      <w:tr>
        <w:tblPrEx>
          <w:tblCellMar>
            <w:top w:w="0" w:type="dxa"/>
            <w:left w:w="108" w:type="dxa"/>
            <w:bottom w:w="0" w:type="dxa"/>
            <w:right w:w="108" w:type="dxa"/>
          </w:tblCellMar>
        </w:tblPrEx>
        <w:trPr>
          <w:trHeight w:val="534" w:hRule="atLeast"/>
          <w:jc w:val="center"/>
        </w:trPr>
        <w:tc>
          <w:tcPr>
            <w:tcW w:w="94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sz w:val="24"/>
                <w:szCs w:val="24"/>
              </w:rPr>
              <w:t>2.3.2</w:t>
            </w:r>
          </w:p>
        </w:tc>
        <w:tc>
          <w:tcPr>
            <w:tcW w:w="23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投标人确认收到</w:t>
            </w:r>
          </w:p>
          <w:p>
            <w:pPr>
              <w:keepNext w:val="0"/>
              <w:keepLines w:val="0"/>
              <w:pageBreakBefore w:val="0"/>
              <w:widowControl w:val="0"/>
              <w:kinsoku/>
              <w:wordWrap w:val="0"/>
              <w:overflowPunct/>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sz w:val="24"/>
                <w:szCs w:val="24"/>
              </w:rPr>
              <w:t>招标文件修改</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textAlignment w:val="auto"/>
              <w:rPr>
                <w:rFonts w:hint="eastAsia" w:ascii="宋体" w:hAnsi="宋体" w:eastAsia="宋体" w:cs="宋体"/>
                <w:color w:val="auto"/>
                <w:sz w:val="24"/>
                <w:szCs w:val="24"/>
                <w:highlight w:val="yellow"/>
              </w:rPr>
            </w:pPr>
            <w:r>
              <w:rPr>
                <w:rFonts w:hint="eastAsia" w:asciiTheme="minorEastAsia" w:hAnsiTheme="minorEastAsia" w:eastAsiaTheme="minorEastAsia" w:cstheme="minorEastAsia"/>
                <w:sz w:val="24"/>
                <w:szCs w:val="24"/>
                <w:lang w:eastAsia="zh-CN"/>
              </w:rPr>
              <w:t>时间：收到招标文件修改后的</w:t>
            </w:r>
            <w:r>
              <w:rPr>
                <w:rFonts w:hint="eastAsia" w:asciiTheme="minorEastAsia" w:hAnsiTheme="minorEastAsia" w:eastAsiaTheme="minorEastAsia" w:cstheme="minorEastAsia"/>
                <w:sz w:val="24"/>
                <w:szCs w:val="24"/>
                <w:lang w:val="en-US" w:eastAsia="zh-CN"/>
              </w:rPr>
              <w:t>24小时内（以发出时间为准）</w:t>
            </w:r>
          </w:p>
        </w:tc>
      </w:tr>
      <w:tr>
        <w:tblPrEx>
          <w:tblCellMar>
            <w:top w:w="0" w:type="dxa"/>
            <w:left w:w="108" w:type="dxa"/>
            <w:bottom w:w="0" w:type="dxa"/>
            <w:right w:w="108" w:type="dxa"/>
          </w:tblCellMar>
        </w:tblPrEx>
        <w:trPr>
          <w:trHeight w:val="551" w:hRule="atLeast"/>
          <w:jc w:val="center"/>
        </w:trPr>
        <w:tc>
          <w:tcPr>
            <w:tcW w:w="94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textAlignment w:val="auto"/>
            </w:pPr>
          </w:p>
        </w:tc>
        <w:tc>
          <w:tcPr>
            <w:tcW w:w="23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textAlignment w:val="auto"/>
            </w:pP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形式：确认函加盖公章并提交给招标人或招标代理机构</w:t>
            </w:r>
          </w:p>
        </w:tc>
      </w:tr>
      <w:tr>
        <w:tblPrEx>
          <w:tblCellMar>
            <w:top w:w="0" w:type="dxa"/>
            <w:left w:w="108" w:type="dxa"/>
            <w:bottom w:w="0" w:type="dxa"/>
            <w:right w:w="108" w:type="dxa"/>
          </w:tblCellMar>
        </w:tblPrEx>
        <w:trPr>
          <w:trHeight w:val="526"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投标文件密封形式</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双信封</w:t>
            </w:r>
          </w:p>
        </w:tc>
      </w:tr>
      <w:tr>
        <w:tblPrEx>
          <w:tblCellMar>
            <w:top w:w="0" w:type="dxa"/>
            <w:left w:w="108" w:type="dxa"/>
            <w:bottom w:w="0" w:type="dxa"/>
            <w:right w:w="108" w:type="dxa"/>
          </w:tblCellMar>
        </w:tblPrEx>
        <w:trPr>
          <w:trHeight w:val="186"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增值税税金</w:t>
            </w:r>
          </w:p>
          <w:p>
            <w:pPr>
              <w:keepNext w:val="0"/>
              <w:keepLines w:val="0"/>
              <w:pageBreakBefore w:val="0"/>
              <w:widowControl w:val="0"/>
              <w:kinsoku/>
              <w:overflowPunct/>
              <w:topLinePunct/>
              <w:bidi w:val="0"/>
              <w:adjustRightInd/>
              <w:snapToGrid/>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的计算方法</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见工程量清单编制说明</w:t>
            </w:r>
          </w:p>
        </w:tc>
      </w:tr>
      <w:tr>
        <w:tblPrEx>
          <w:tblCellMar>
            <w:top w:w="0" w:type="dxa"/>
            <w:left w:w="108" w:type="dxa"/>
            <w:bottom w:w="0" w:type="dxa"/>
            <w:right w:w="108" w:type="dxa"/>
          </w:tblCellMar>
        </w:tblPrEx>
        <w:trPr>
          <w:trHeight w:val="9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3.2.2</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工程量清单</w:t>
            </w:r>
          </w:p>
          <w:p>
            <w:pPr>
              <w:keepNext w:val="0"/>
              <w:keepLines w:val="0"/>
              <w:pageBreakBefore w:val="0"/>
              <w:widowControl w:val="0"/>
              <w:kinsoku/>
              <w:overflowPunct/>
              <w:topLinePunct/>
              <w:bidi w:val="0"/>
              <w:adjustRightInd/>
              <w:snapToGrid/>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的填写方式</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投标人按照招标人提供的工程量固化清单文件填写工程量 清单</w:t>
            </w:r>
          </w:p>
        </w:tc>
      </w:tr>
      <w:tr>
        <w:tblPrEx>
          <w:tblCellMar>
            <w:top w:w="0" w:type="dxa"/>
            <w:left w:w="108" w:type="dxa"/>
            <w:bottom w:w="0" w:type="dxa"/>
            <w:right w:w="108" w:type="dxa"/>
          </w:tblCellMar>
        </w:tblPrEx>
        <w:trPr>
          <w:trHeight w:val="511"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3.2.3</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报价方式</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总价</w:t>
            </w:r>
          </w:p>
        </w:tc>
      </w:tr>
      <w:tr>
        <w:tblPrEx>
          <w:tblCellMar>
            <w:top w:w="0" w:type="dxa"/>
            <w:left w:w="108" w:type="dxa"/>
            <w:bottom w:w="0" w:type="dxa"/>
            <w:right w:w="108" w:type="dxa"/>
          </w:tblCellMar>
        </w:tblPrEx>
        <w:trPr>
          <w:trHeight w:val="45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eastAsia" w:ascii="宋体" w:hAnsi="宋体" w:cs="宋体" w:eastAsiaTheme="minorEastAsia"/>
                <w:color w:val="000000"/>
                <w:kern w:val="2"/>
                <w:sz w:val="24"/>
                <w:szCs w:val="24"/>
                <w:highlight w:val="none"/>
                <w:lang w:val="en-US" w:eastAsia="zh-CN" w:bidi="ar-SA"/>
              </w:rPr>
            </w:pPr>
            <w:r>
              <w:rPr>
                <w:rFonts w:hint="eastAsia" w:asciiTheme="minorEastAsia" w:hAnsiTheme="minorEastAsia" w:eastAsiaTheme="minorEastAsia" w:cstheme="minorEastAsia"/>
                <w:kern w:val="2"/>
                <w:sz w:val="24"/>
                <w:szCs w:val="24"/>
                <w:lang w:val="en-US" w:eastAsia="zh-CN" w:bidi="ar-SA"/>
              </w:rPr>
              <w:t>3.2.6</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Theme="minorEastAsia" w:hAnsiTheme="minorEastAsia" w:eastAsiaTheme="minorEastAsia" w:cstheme="minorEastAsia"/>
                <w:kern w:val="2"/>
                <w:sz w:val="24"/>
                <w:szCs w:val="24"/>
                <w:lang w:val="en-US" w:eastAsia="zh-CN" w:bidi="ar-SA"/>
              </w:rPr>
              <w:t>是否接受调价函</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否</w:t>
            </w:r>
          </w:p>
        </w:tc>
      </w:tr>
      <w:tr>
        <w:tblPrEx>
          <w:tblCellMar>
            <w:top w:w="0" w:type="dxa"/>
            <w:left w:w="108" w:type="dxa"/>
            <w:bottom w:w="0" w:type="dxa"/>
            <w:right w:w="108" w:type="dxa"/>
          </w:tblCellMar>
        </w:tblPrEx>
        <w:trPr>
          <w:trHeight w:val="472"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eastAsia" w:ascii="宋体" w:hAnsi="宋体" w:cs="宋体" w:eastAsiaTheme="minorEastAsia"/>
                <w:color w:val="000000"/>
                <w:kern w:val="2"/>
                <w:sz w:val="24"/>
                <w:szCs w:val="24"/>
                <w:highlight w:val="none"/>
                <w:lang w:val="en-US" w:eastAsia="zh-CN" w:bidi="ar-SA"/>
              </w:rPr>
            </w:pPr>
            <w:r>
              <w:rPr>
                <w:rFonts w:hint="eastAsia" w:asciiTheme="minorEastAsia" w:hAnsiTheme="minorEastAsia" w:eastAsiaTheme="minorEastAsia" w:cstheme="minorEastAsia"/>
                <w:kern w:val="2"/>
                <w:sz w:val="24"/>
                <w:szCs w:val="24"/>
                <w:lang w:val="en-US" w:eastAsia="zh-CN" w:bidi="ar-SA"/>
              </w:rPr>
              <w:t>3.2.8</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bidi w:val="0"/>
              <w:adjustRightInd/>
              <w:snapToGrid/>
              <w:spacing w:line="44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Theme="minorEastAsia" w:hAnsiTheme="minorEastAsia" w:eastAsiaTheme="minorEastAsia" w:cstheme="minorEastAsia"/>
                <w:kern w:val="2"/>
                <w:sz w:val="24"/>
                <w:szCs w:val="24"/>
                <w:lang w:val="en-US" w:eastAsia="zh-CN" w:bidi="ar-SA"/>
              </w:rPr>
              <w:t>最高投标限价</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val="0"/>
              <w:autoSpaceDN w:val="0"/>
              <w:bidi w:val="0"/>
              <w:adjustRightInd/>
              <w:snapToGrid/>
              <w:spacing w:line="440" w:lineRule="exac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本项目设置最高投标限价，投标截止时间前15天发布。</w:t>
            </w:r>
          </w:p>
        </w:tc>
      </w:tr>
      <w:tr>
        <w:tblPrEx>
          <w:tblCellMar>
            <w:top w:w="0" w:type="dxa"/>
            <w:left w:w="108" w:type="dxa"/>
            <w:bottom w:w="0" w:type="dxa"/>
            <w:right w:w="108" w:type="dxa"/>
          </w:tblCellMar>
        </w:tblPrEx>
        <w:trPr>
          <w:trHeight w:val="45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23" w:name="_Toc221950062"/>
            <w:r>
              <w:rPr>
                <w:rFonts w:hint="eastAsia" w:ascii="宋体" w:hAnsi="宋体" w:eastAsia="宋体" w:cs="宋体"/>
                <w:color w:val="000000"/>
                <w:sz w:val="24"/>
                <w:szCs w:val="24"/>
                <w:highlight w:val="none"/>
              </w:rPr>
              <w:t>3.3.1</w:t>
            </w:r>
            <w:bookmarkEnd w:id="23"/>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24" w:name="_Toc221950063"/>
            <w:r>
              <w:rPr>
                <w:rFonts w:hint="eastAsia" w:ascii="宋体" w:hAnsi="宋体" w:eastAsia="宋体" w:cs="宋体"/>
                <w:color w:val="000000"/>
                <w:sz w:val="24"/>
                <w:szCs w:val="24"/>
                <w:highlight w:val="none"/>
              </w:rPr>
              <w:t>投标有效期</w:t>
            </w:r>
            <w:bookmarkEnd w:id="24"/>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自</w:t>
            </w:r>
            <w:r>
              <w:rPr>
                <w:rFonts w:hint="eastAsia" w:ascii="宋体" w:hAnsi="宋体" w:cs="宋体"/>
                <w:color w:val="000000"/>
                <w:sz w:val="24"/>
                <w:szCs w:val="24"/>
                <w:highlight w:val="none"/>
                <w:lang w:eastAsia="zh-CN"/>
              </w:rPr>
              <w:t>投标文件递交截止之日</w:t>
            </w:r>
            <w:r>
              <w:rPr>
                <w:rFonts w:hint="eastAsia" w:ascii="宋体" w:hAnsi="宋体" w:eastAsia="宋体" w:cs="宋体"/>
                <w:color w:val="000000"/>
                <w:sz w:val="24"/>
                <w:szCs w:val="24"/>
                <w:highlight w:val="none"/>
              </w:rPr>
              <w:t>起90</w:t>
            </w:r>
            <w:r>
              <w:rPr>
                <w:rFonts w:hint="eastAsia" w:ascii="宋体" w:hAnsi="宋体" w:cs="宋体"/>
                <w:color w:val="000000"/>
                <w:sz w:val="24"/>
                <w:szCs w:val="24"/>
                <w:highlight w:val="none"/>
                <w:lang w:eastAsia="zh-CN"/>
              </w:rPr>
              <w:t>日</w:t>
            </w:r>
          </w:p>
        </w:tc>
      </w:tr>
      <w:tr>
        <w:tblPrEx>
          <w:tblCellMar>
            <w:top w:w="0" w:type="dxa"/>
            <w:left w:w="108" w:type="dxa"/>
            <w:bottom w:w="0" w:type="dxa"/>
            <w:right w:w="108" w:type="dxa"/>
          </w:tblCellMar>
        </w:tblPrEx>
        <w:trPr>
          <w:trHeight w:val="979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bookmarkStart w:id="25" w:name="_Toc221950064"/>
            <w:r>
              <w:rPr>
                <w:rFonts w:hint="eastAsia" w:ascii="宋体" w:hAnsi="宋体" w:eastAsia="宋体" w:cs="宋体"/>
                <w:color w:val="auto"/>
                <w:sz w:val="24"/>
                <w:szCs w:val="24"/>
                <w:highlight w:val="none"/>
              </w:rPr>
              <w:t>3.4.1</w:t>
            </w:r>
            <w:bookmarkEnd w:id="25"/>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bookmarkStart w:id="26" w:name="_Toc221950065"/>
            <w:r>
              <w:rPr>
                <w:rFonts w:hint="eastAsia" w:ascii="宋体" w:hAnsi="宋体" w:eastAsia="宋体" w:cs="宋体"/>
                <w:color w:val="auto"/>
                <w:sz w:val="24"/>
                <w:szCs w:val="24"/>
                <w:highlight w:val="none"/>
              </w:rPr>
              <w:t>投标保证金</w:t>
            </w:r>
            <w:bookmarkEnd w:id="26"/>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缴纳金额：壹拾万元整（¥</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lang w:eastAsia="zh-CN"/>
              </w:rPr>
              <w:t>0000.00）</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缴纳时间：投标截止时间前到账或提供。</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缴付形式：银行转账、</w:t>
            </w:r>
            <w:r>
              <w:rPr>
                <w:rFonts w:hint="eastAsia" w:ascii="宋体" w:hAnsi="宋体" w:cs="宋体"/>
                <w:color w:val="auto"/>
                <w:kern w:val="0"/>
                <w:sz w:val="24"/>
                <w:szCs w:val="24"/>
                <w:highlight w:val="none"/>
                <w:lang w:val="en-US" w:eastAsia="zh-CN"/>
              </w:rPr>
              <w:t>银行保函</w:t>
            </w:r>
            <w:r>
              <w:rPr>
                <w:rFonts w:hint="eastAsia" w:ascii="宋体" w:hAnsi="宋体" w:cs="宋体"/>
                <w:color w:val="auto"/>
                <w:kern w:val="0"/>
                <w:sz w:val="24"/>
                <w:szCs w:val="24"/>
                <w:highlight w:val="none"/>
                <w:lang w:eastAsia="zh-CN"/>
              </w:rPr>
              <w:t>或信用担保</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账户名称：安康市政务服务中心公共资源交易保证金专用账户</w:t>
            </w:r>
            <w:r>
              <w:rPr>
                <w:rFonts w:hint="eastAsia" w:ascii="宋体" w:hAnsi="宋体" w:cs="宋体"/>
                <w:color w:val="auto"/>
                <w:kern w:val="0"/>
                <w:sz w:val="24"/>
                <w:szCs w:val="2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开户银行：中国建设银行股份有限公司安康分行营业部</w:t>
            </w:r>
            <w:r>
              <w:rPr>
                <w:rFonts w:hint="eastAsia" w:ascii="宋体" w:hAnsi="宋体" w:cs="宋体"/>
                <w:color w:val="auto"/>
                <w:kern w:val="0"/>
                <w:sz w:val="24"/>
                <w:szCs w:val="2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账</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 xml:space="preserve">号：61050166371100000321 </w:t>
            </w:r>
            <w:r>
              <w:rPr>
                <w:rFonts w:hint="eastAsia" w:ascii="宋体" w:hAnsi="宋体" w:cs="宋体"/>
                <w:color w:val="auto"/>
                <w:kern w:val="0"/>
                <w:sz w:val="24"/>
                <w:szCs w:val="2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采用银行转账形式缴纳的，投标保证金必须从其基本账户转出并注明项目标段名称，时间以银行到账时间为准。</w:t>
            </w:r>
            <w:r>
              <w:rPr>
                <w:rFonts w:hint="eastAsia" w:ascii="宋体" w:hAnsi="宋体" w:cs="宋体"/>
                <w:color w:val="auto"/>
                <w:kern w:val="0"/>
                <w:sz w:val="24"/>
                <w:szCs w:val="24"/>
                <w:highlight w:val="none"/>
                <w:lang w:val="en-US" w:eastAsia="zh-CN"/>
              </w:rPr>
              <w:t>投标人在</w:t>
            </w:r>
            <w:r>
              <w:rPr>
                <w:rFonts w:hint="eastAsia" w:ascii="宋体" w:hAnsi="宋体" w:cs="宋体"/>
                <w:color w:val="auto"/>
                <w:kern w:val="0"/>
                <w:sz w:val="24"/>
                <w:szCs w:val="24"/>
                <w:highlight w:val="none"/>
                <w:lang w:eastAsia="zh-CN"/>
              </w:rPr>
              <w:t>开标现场提交转账凭证、开户许可证或基本存款账户信息复印件；</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采用银行保函形式缴纳的，保函由投标人基本账户开户银行出具，基本账户开户银行不具备出具银行保函资格的，则由其基本账户开户银行的上级银行出具，时间以保函签署日期为准。保函为无条件不可撤销保函，有效期等同投标有效期。投标人在开标现场提交保函原件、开户许可证或基本存款账户信息复印件。</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color w:val="auto"/>
                <w:kern w:val="0"/>
                <w:sz w:val="24"/>
                <w:szCs w:val="24"/>
                <w:highlight w:val="none"/>
                <w:lang w:val="en-US" w:eastAsia="zh-CN"/>
              </w:rPr>
              <w:t>3.采用信用担保方式缴纳的，保函由具有相应资格和经营业务范围的融资性担保机构出具，时间以保函签署日期为准。保函为无条件不可撤销保函，有效期等同投标有效期。投标人在开标现场提交保函原件、加盖担保机构公章的担保机构营业执照及经营许可证复印件。</w:t>
            </w:r>
          </w:p>
        </w:tc>
      </w:tr>
      <w:tr>
        <w:tblPrEx>
          <w:tblCellMar>
            <w:top w:w="0" w:type="dxa"/>
            <w:left w:w="108" w:type="dxa"/>
            <w:bottom w:w="0" w:type="dxa"/>
            <w:right w:w="108" w:type="dxa"/>
          </w:tblCellMar>
        </w:tblPrEx>
        <w:trPr>
          <w:trHeight w:val="272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3.4.3</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投标保证金利息</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1.交易保证金利息=交易保证金金额×交易保证金续存期×活期存款年利率/365天；</w:t>
            </w:r>
          </w:p>
          <w:p>
            <w:pPr>
              <w:keepNext w:val="0"/>
              <w:keepLines w:val="0"/>
              <w:pageBreakBefore w:val="0"/>
              <w:widowControl w:val="0"/>
              <w:kinsoku/>
              <w:wordWrap w:val="0"/>
              <w:overflowPunct/>
              <w:autoSpaceDE/>
              <w:autoSpaceDN/>
              <w:bidi w:val="0"/>
              <w:adjustRightInd/>
              <w:snapToGrid/>
              <w:spacing w:line="440" w:lineRule="exact"/>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2.活期存款年利率按交易保证金存入当日中国人民银行公布的人民币活期利率执行；</w:t>
            </w:r>
          </w:p>
          <w:p>
            <w:pPr>
              <w:keepNext w:val="0"/>
              <w:keepLines w:val="0"/>
              <w:pageBreakBefore w:val="0"/>
              <w:widowControl w:val="0"/>
              <w:kinsoku/>
              <w:wordWrap w:val="0"/>
              <w:overflowPunct/>
              <w:autoSpaceDE/>
              <w:autoSpaceDN/>
              <w:bidi w:val="0"/>
              <w:adjustRightInd/>
              <w:snapToGrid/>
              <w:spacing w:line="440" w:lineRule="exac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3.交易保证金续存期指交易保证金存入日到交易保证金支取日，按算头不算尾方式计算天数。</w:t>
            </w:r>
          </w:p>
        </w:tc>
      </w:tr>
      <w:tr>
        <w:tblPrEx>
          <w:tblCellMar>
            <w:top w:w="0" w:type="dxa"/>
            <w:left w:w="108" w:type="dxa"/>
            <w:bottom w:w="0" w:type="dxa"/>
            <w:right w:w="108" w:type="dxa"/>
          </w:tblCellMar>
        </w:tblPrEx>
        <w:trPr>
          <w:trHeight w:val="34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3.4.4</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其他可以不予退还投标保证金的情形</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详见投标人须知正文第</w:t>
            </w:r>
            <w:r>
              <w:rPr>
                <w:rFonts w:hint="eastAsia" w:ascii="宋体" w:hAnsi="宋体" w:cs="宋体"/>
                <w:color w:val="000000"/>
                <w:sz w:val="24"/>
                <w:szCs w:val="24"/>
                <w:highlight w:val="none"/>
                <w:lang w:val="en-US" w:eastAsia="zh-CN"/>
              </w:rPr>
              <w:t>3.4.4项条款规定</w:t>
            </w:r>
          </w:p>
        </w:tc>
      </w:tr>
      <w:tr>
        <w:tblPrEx>
          <w:tblCellMar>
            <w:top w:w="0" w:type="dxa"/>
            <w:left w:w="108" w:type="dxa"/>
            <w:bottom w:w="0" w:type="dxa"/>
            <w:right w:w="108" w:type="dxa"/>
          </w:tblCellMar>
        </w:tblPrEx>
        <w:trPr>
          <w:trHeight w:val="91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3.5</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资格审查资料</w:t>
            </w:r>
          </w:p>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的特殊要求</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highlight w:val="none"/>
                <w:lang w:eastAsia="zh-CN"/>
              </w:rPr>
            </w:pPr>
            <w:r>
              <w:rPr>
                <w:rFonts w:hint="eastAsia" w:asciiTheme="minorEastAsia" w:hAnsiTheme="minorEastAsia" w:eastAsiaTheme="minorEastAsia" w:cstheme="minorEastAsia"/>
                <w:sz w:val="24"/>
                <w:szCs w:val="24"/>
                <w:lang w:val="en-US" w:eastAsia="zh-CN"/>
              </w:rPr>
              <w:t>无</w:t>
            </w:r>
          </w:p>
        </w:tc>
      </w:tr>
      <w:tr>
        <w:tblPrEx>
          <w:tblCellMar>
            <w:top w:w="0" w:type="dxa"/>
            <w:left w:w="108" w:type="dxa"/>
            <w:bottom w:w="0" w:type="dxa"/>
            <w:right w:w="108" w:type="dxa"/>
          </w:tblCellMar>
        </w:tblPrEx>
        <w:trPr>
          <w:trHeight w:val="93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3.5.2</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近年财务状况</w:t>
            </w:r>
          </w:p>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的年份要求</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近3年，</w:t>
            </w:r>
            <w:r>
              <w:rPr>
                <w:rFonts w:hint="eastAsia" w:ascii="宋体" w:hAnsi="宋体" w:eastAsia="宋体" w:cs="宋体"/>
                <w:color w:val="000000"/>
                <w:sz w:val="24"/>
                <w:szCs w:val="24"/>
                <w:highlight w:val="none"/>
              </w:rPr>
              <w:t>20</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eastAsia="zh-CN"/>
              </w:rPr>
              <w:t>至</w:t>
            </w:r>
            <w:r>
              <w:rPr>
                <w:rFonts w:hint="eastAsia" w:ascii="宋体" w:hAnsi="宋体" w:eastAsia="宋体" w:cs="宋体"/>
                <w:color w:val="000000"/>
                <w:sz w:val="24"/>
                <w:szCs w:val="24"/>
                <w:highlight w:val="none"/>
              </w:rPr>
              <w:t>20</w:t>
            </w:r>
            <w:r>
              <w:rPr>
                <w:rFonts w:hint="eastAsia" w:ascii="宋体" w:hAnsi="宋体" w:cs="宋体"/>
                <w:color w:val="000000"/>
                <w:sz w:val="24"/>
                <w:szCs w:val="24"/>
                <w:highlight w:val="none"/>
                <w:lang w:val="en-US" w:eastAsia="zh-CN"/>
              </w:rPr>
              <w:t>22</w:t>
            </w:r>
            <w:r>
              <w:rPr>
                <w:rFonts w:hint="eastAsia" w:ascii="宋体" w:hAnsi="宋体" w:eastAsia="宋体" w:cs="宋体"/>
                <w:color w:val="000000"/>
                <w:sz w:val="24"/>
                <w:szCs w:val="24"/>
                <w:highlight w:val="none"/>
              </w:rPr>
              <w:t>年（新成立的企业以成立时间为准）</w:t>
            </w:r>
          </w:p>
        </w:tc>
      </w:tr>
      <w:tr>
        <w:tblPrEx>
          <w:tblCellMar>
            <w:top w:w="0" w:type="dxa"/>
            <w:left w:w="108" w:type="dxa"/>
            <w:bottom w:w="0" w:type="dxa"/>
            <w:right w:w="108" w:type="dxa"/>
          </w:tblCellMar>
        </w:tblPrEx>
        <w:trPr>
          <w:trHeight w:val="94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snapToGrid/>
              <w:spacing w:line="44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3.5.3</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近年完成的类似项目</w:t>
            </w:r>
          </w:p>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4"/>
                <w:szCs w:val="24"/>
                <w:highlight w:val="none"/>
                <w:lang w:val="en-US" w:eastAsia="zh-CN" w:bidi="ar-SA"/>
              </w:rPr>
            </w:pPr>
            <w:r>
              <w:rPr>
                <w:rFonts w:hint="eastAsia" w:asciiTheme="minorEastAsia" w:hAnsiTheme="minorEastAsia" w:eastAsiaTheme="minorEastAsia" w:cstheme="minorEastAsia"/>
                <w:kern w:val="2"/>
                <w:sz w:val="24"/>
                <w:szCs w:val="24"/>
                <w:lang w:val="en-US" w:eastAsia="zh-CN" w:bidi="ar-SA"/>
              </w:rPr>
              <w:t>情况的时间要求</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hint="default" w:ascii="宋体" w:hAnsi="宋体" w:eastAsia="宋体" w:cs="宋体"/>
                <w:color w:val="0000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u w:val="none"/>
                <w:lang w:val="en-US" w:eastAsia="zh-CN"/>
              </w:rPr>
              <w:t>近5年，2018年1月1日至今</w:t>
            </w:r>
          </w:p>
        </w:tc>
      </w:tr>
      <w:tr>
        <w:tblPrEx>
          <w:tblCellMar>
            <w:top w:w="0" w:type="dxa"/>
            <w:left w:w="108" w:type="dxa"/>
            <w:bottom w:w="0" w:type="dxa"/>
            <w:right w:w="108" w:type="dxa"/>
          </w:tblCellMar>
        </w:tblPrEx>
        <w:trPr>
          <w:trHeight w:val="92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3.6</w:t>
            </w:r>
            <w:r>
              <w:rPr>
                <w:rFonts w:hint="eastAsia" w:ascii="宋体" w:hAnsi="宋体" w:cs="宋体"/>
                <w:color w:val="000000"/>
                <w:sz w:val="24"/>
                <w:szCs w:val="24"/>
                <w:highlight w:val="none"/>
                <w:lang w:val="en-US" w:eastAsia="zh-CN"/>
              </w:rPr>
              <w:t>.1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是否允许递交</w:t>
            </w:r>
          </w:p>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备选投标方案</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不允许</w:t>
            </w:r>
          </w:p>
        </w:tc>
      </w:tr>
      <w:tr>
        <w:tblPrEx>
          <w:tblCellMar>
            <w:top w:w="0" w:type="dxa"/>
            <w:left w:w="108" w:type="dxa"/>
            <w:bottom w:w="0" w:type="dxa"/>
            <w:right w:w="108" w:type="dxa"/>
          </w:tblCellMar>
        </w:tblPrEx>
        <w:trPr>
          <w:trHeight w:val="2713"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3.7.5</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w:t>
            </w:r>
          </w:p>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编制要求</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投标文件由投标人使用“陕西省公共资源交易平台”规定的投标文件制作工具制作生成。</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投标人在编制投标文件时应建立分级目录，并按照标签提示导入相关内容。</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投标文件制作完成后，投标人应使用CA数字证书对投标文件进行文件加密，形成加密的投标文件。</w:t>
            </w:r>
          </w:p>
        </w:tc>
      </w:tr>
      <w:tr>
        <w:tblPrEx>
          <w:tblCellMar>
            <w:top w:w="0" w:type="dxa"/>
            <w:left w:w="108" w:type="dxa"/>
            <w:bottom w:w="0" w:type="dxa"/>
            <w:right w:w="108" w:type="dxa"/>
          </w:tblCellMar>
        </w:tblPrEx>
        <w:trPr>
          <w:trHeight w:val="57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bookmarkStart w:id="27" w:name="_Toc221950071"/>
            <w:r>
              <w:rPr>
                <w:rFonts w:hint="eastAsia" w:ascii="宋体" w:hAnsi="宋体" w:eastAsia="宋体" w:cs="宋体"/>
                <w:color w:val="auto"/>
                <w:sz w:val="24"/>
                <w:szCs w:val="24"/>
                <w:highlight w:val="none"/>
              </w:rPr>
              <w:t>5.1</w:t>
            </w:r>
            <w:bookmarkEnd w:id="27"/>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bookmarkStart w:id="28" w:name="_Toc221950072"/>
            <w:r>
              <w:rPr>
                <w:rFonts w:hint="eastAsia" w:ascii="宋体" w:hAnsi="宋体" w:eastAsia="宋体" w:cs="宋体"/>
                <w:color w:val="auto"/>
                <w:sz w:val="24"/>
                <w:szCs w:val="24"/>
                <w:highlight w:val="none"/>
              </w:rPr>
              <w:t>开标时间和地点</w:t>
            </w:r>
            <w:bookmarkEnd w:id="28"/>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bookmarkStart w:id="29" w:name="_Toc221950073"/>
            <w:r>
              <w:rPr>
                <w:rFonts w:hint="eastAsia" w:ascii="宋体" w:hAnsi="宋体" w:eastAsia="宋体" w:cs="宋体"/>
                <w:color w:val="auto"/>
                <w:sz w:val="24"/>
                <w:szCs w:val="24"/>
                <w:highlight w:val="none"/>
              </w:rPr>
              <w:t>开标时间：</w:t>
            </w:r>
            <w:bookmarkEnd w:id="29"/>
            <w:r>
              <w:rPr>
                <w:rFonts w:hint="eastAsia" w:ascii="宋体" w:hAnsi="宋体" w:cs="宋体"/>
                <w:b w:val="0"/>
                <w:bCs w:val="0"/>
                <w:color w:val="0C0C0C"/>
                <w:spacing w:val="-6"/>
                <w:kern w:val="0"/>
                <w:sz w:val="24"/>
                <w:szCs w:val="24"/>
                <w:highlight w:val="none"/>
                <w:shd w:val="clear" w:color="auto" w:fill="FFFFFF"/>
                <w:lang w:val="en-US" w:eastAsia="zh-CN" w:bidi="ar"/>
              </w:rPr>
              <w:t>2023年05月25日14时00分</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bookmarkStart w:id="30" w:name="_Toc221950074"/>
            <w:r>
              <w:rPr>
                <w:rFonts w:hint="eastAsia" w:ascii="宋体" w:hAnsi="宋体" w:eastAsia="宋体" w:cs="宋体"/>
                <w:color w:val="auto"/>
                <w:sz w:val="24"/>
                <w:szCs w:val="24"/>
                <w:highlight w:val="none"/>
              </w:rPr>
              <w:t>开标地点：</w:t>
            </w:r>
            <w:bookmarkEnd w:id="30"/>
            <w:r>
              <w:rPr>
                <w:rFonts w:hint="eastAsia" w:ascii="宋体" w:hAnsi="宋体" w:eastAsia="宋体" w:cs="宋体"/>
                <w:color w:val="auto"/>
                <w:sz w:val="24"/>
                <w:szCs w:val="24"/>
                <w:highlight w:val="none"/>
              </w:rPr>
              <w:t>安康市公共资源交易中心</w:t>
            </w:r>
            <w:r>
              <w:rPr>
                <w:rFonts w:hint="eastAsia" w:ascii="宋体" w:hAnsi="宋体" w:cs="宋体"/>
                <w:color w:val="auto"/>
                <w:sz w:val="24"/>
                <w:szCs w:val="24"/>
                <w:highlight w:val="none"/>
                <w:lang w:val="en-US" w:eastAsia="zh-CN"/>
              </w:rPr>
              <w:t>301</w:t>
            </w:r>
            <w:r>
              <w:rPr>
                <w:rFonts w:hint="eastAsia" w:ascii="宋体" w:hAnsi="宋体" w:eastAsia="宋体" w:cs="宋体"/>
                <w:color w:val="auto"/>
                <w:sz w:val="24"/>
                <w:szCs w:val="24"/>
                <w:highlight w:val="none"/>
              </w:rPr>
              <w:t>室</w:t>
            </w:r>
          </w:p>
        </w:tc>
      </w:tr>
      <w:tr>
        <w:tblPrEx>
          <w:tblCellMar>
            <w:top w:w="0" w:type="dxa"/>
            <w:left w:w="108" w:type="dxa"/>
            <w:bottom w:w="0" w:type="dxa"/>
            <w:right w:w="108" w:type="dxa"/>
          </w:tblCellMar>
        </w:tblPrEx>
        <w:trPr>
          <w:trHeight w:val="741"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31" w:name="_Toc221950075"/>
            <w:r>
              <w:rPr>
                <w:rFonts w:hint="eastAsia" w:ascii="宋体" w:hAnsi="宋体" w:eastAsia="宋体" w:cs="宋体"/>
                <w:color w:val="000000"/>
                <w:sz w:val="24"/>
                <w:szCs w:val="24"/>
                <w:highlight w:val="none"/>
              </w:rPr>
              <w:t>6.1.1</w:t>
            </w:r>
            <w:bookmarkEnd w:id="31"/>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rPr>
            </w:pPr>
            <w:bookmarkStart w:id="32" w:name="_Toc221950076"/>
            <w:r>
              <w:rPr>
                <w:rFonts w:hint="eastAsia" w:ascii="宋体" w:hAnsi="宋体" w:eastAsia="宋体" w:cs="宋体"/>
                <w:color w:val="000000"/>
                <w:sz w:val="24"/>
                <w:szCs w:val="24"/>
                <w:highlight w:val="none"/>
              </w:rPr>
              <w:t>评标委员会的组建</w:t>
            </w:r>
            <w:bookmarkEnd w:id="32"/>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评标委员会构成：</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其中招标人代表</w:t>
            </w:r>
            <w:r>
              <w:rPr>
                <w:rFonts w:hint="eastAsia" w:asciiTheme="minorEastAsia" w:hAnsiTheme="minorEastAsia" w:eastAsiaTheme="minorEastAsia" w:cstheme="minorEastAsia"/>
                <w:sz w:val="24"/>
                <w:szCs w:val="24"/>
                <w:highlight w:val="none"/>
                <w:lang w:val="en-US"/>
              </w:rPr>
              <w:t>1</w:t>
            </w:r>
            <w:r>
              <w:rPr>
                <w:rFonts w:hint="eastAsia" w:asciiTheme="minorEastAsia" w:hAnsiTheme="minorEastAsia" w:eastAsiaTheme="minorEastAsia" w:cstheme="minorEastAsia"/>
                <w:sz w:val="24"/>
                <w:szCs w:val="24"/>
                <w:highlight w:val="none"/>
              </w:rPr>
              <w:t>人，专家</w:t>
            </w:r>
            <w:r>
              <w:rPr>
                <w:rFonts w:hint="eastAsia" w:asciiTheme="minorEastAsia" w:hAnsiTheme="minorEastAsia" w:eastAsiaTheme="minorEastAsia" w:cstheme="minorEastAsia"/>
                <w:sz w:val="24"/>
                <w:szCs w:val="24"/>
                <w:highlight w:val="none"/>
                <w:lang w:val="en-US"/>
              </w:rPr>
              <w:t>4</w:t>
            </w:r>
            <w:r>
              <w:rPr>
                <w:rFonts w:hint="eastAsia" w:asciiTheme="minorEastAsia" w:hAnsiTheme="minorEastAsia" w:eastAsiaTheme="minorEastAsia" w:cstheme="minorEastAsia"/>
                <w:sz w:val="24"/>
                <w:szCs w:val="24"/>
                <w:highlight w:val="none"/>
              </w:rPr>
              <w:t>人；</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cs="宋体" w:eastAsiaTheme="minorEastAsia"/>
                <w:color w:val="000000"/>
                <w:sz w:val="24"/>
                <w:szCs w:val="24"/>
                <w:highlight w:val="none"/>
                <w:lang w:eastAsia="zh-CN"/>
              </w:rPr>
            </w:pPr>
            <w:r>
              <w:rPr>
                <w:rFonts w:hint="eastAsia" w:asciiTheme="minorEastAsia" w:hAnsiTheme="minorEastAsia" w:eastAsiaTheme="minorEastAsia" w:cstheme="minorEastAsia"/>
                <w:sz w:val="24"/>
                <w:szCs w:val="24"/>
                <w:highlight w:val="none"/>
              </w:rPr>
              <w:t>评标专家确定方式：</w:t>
            </w:r>
            <w:r>
              <w:rPr>
                <w:rFonts w:hint="eastAsia" w:asciiTheme="minorEastAsia" w:hAnsiTheme="minorEastAsia" w:eastAsiaTheme="minorEastAsia" w:cstheme="minorEastAsia"/>
                <w:sz w:val="24"/>
                <w:szCs w:val="24"/>
                <w:highlight w:val="none"/>
                <w:lang w:eastAsia="zh-CN"/>
              </w:rPr>
              <w:t>从专家库中随机抽取</w:t>
            </w:r>
          </w:p>
        </w:tc>
      </w:tr>
      <w:tr>
        <w:tblPrEx>
          <w:tblCellMar>
            <w:top w:w="0" w:type="dxa"/>
            <w:left w:w="108" w:type="dxa"/>
            <w:bottom w:w="0" w:type="dxa"/>
            <w:right w:w="108" w:type="dxa"/>
          </w:tblCellMar>
        </w:tblPrEx>
        <w:trPr>
          <w:trHeight w:val="853"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6.3.2</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评标委员会推荐</w:t>
            </w:r>
          </w:p>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中标候选人的人数</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ind w:left="470" w:leftChars="24" w:hanging="420" w:hangingChars="175"/>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3名</w:t>
            </w:r>
          </w:p>
        </w:tc>
      </w:tr>
      <w:tr>
        <w:tblPrEx>
          <w:tblCellMar>
            <w:top w:w="0" w:type="dxa"/>
            <w:left w:w="108" w:type="dxa"/>
            <w:bottom w:w="0" w:type="dxa"/>
            <w:right w:w="108" w:type="dxa"/>
          </w:tblCellMar>
        </w:tblPrEx>
        <w:trPr>
          <w:trHeight w:val="1343"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eastAsia="宋体" w:asciiTheme="minorEastAsia" w:hAnsiTheme="minorEastAsia" w:cstheme="minorEastAsia"/>
                <w:lang w:val="en-US" w:eastAsia="zh-CN"/>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中标候选人</w:t>
            </w:r>
          </w:p>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cs="宋体"/>
                <w:color w:val="auto"/>
                <w:sz w:val="24"/>
                <w:szCs w:val="24"/>
                <w:highlight w:val="none"/>
                <w:lang w:eastAsia="zh-CN"/>
              </w:rPr>
              <w:t>公示媒介及期限</w:t>
            </w:r>
          </w:p>
        </w:tc>
        <w:tc>
          <w:tcPr>
            <w:tcW w:w="64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852"/>
              </w:tabs>
              <w:kinsoku/>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公示媒介：</w:t>
            </w:r>
            <w:r>
              <w:rPr>
                <w:rFonts w:hint="eastAsia" w:asciiTheme="minorEastAsia" w:hAnsiTheme="minorEastAsia" w:eastAsiaTheme="minorEastAsia" w:cstheme="minorEastAsia"/>
                <w:bCs/>
                <w:sz w:val="24"/>
                <w:highlight w:val="none"/>
              </w:rPr>
              <w:t>《陕西省公共资源交易平台》</w:t>
            </w:r>
            <w:r>
              <w:rPr>
                <w:rFonts w:hint="eastAsia" w:asciiTheme="minorEastAsia" w:hAnsiTheme="minorEastAsia" w:eastAsiaTheme="minorEastAsia" w:cstheme="minorEastAsia"/>
                <w:bCs/>
                <w:sz w:val="24"/>
                <w:highlight w:val="none"/>
                <w:lang w:eastAsia="zh-CN"/>
              </w:rPr>
              <w:t>、</w:t>
            </w:r>
            <w:r>
              <w:rPr>
                <w:rFonts w:hint="eastAsia" w:asciiTheme="minorEastAsia" w:hAnsiTheme="minorEastAsia" w:eastAsiaTheme="minorEastAsia" w:cstheme="minorEastAsia"/>
                <w:bCs/>
                <w:sz w:val="24"/>
                <w:highlight w:val="none"/>
              </w:rPr>
              <w:t>《陕西省采购与招标网》、《</w:t>
            </w:r>
            <w:r>
              <w:rPr>
                <w:rFonts w:hint="eastAsia" w:asciiTheme="minorEastAsia" w:hAnsiTheme="minorEastAsia" w:eastAsiaTheme="minorEastAsia" w:cstheme="minorEastAsia"/>
                <w:bCs/>
                <w:sz w:val="24"/>
                <w:highlight w:val="none"/>
                <w:lang w:eastAsia="zh-CN"/>
              </w:rPr>
              <w:t>安康市交通运输局</w:t>
            </w:r>
            <w:r>
              <w:rPr>
                <w:rFonts w:hint="eastAsia" w:asciiTheme="minorEastAsia" w:hAnsiTheme="minorEastAsia" w:eastAsiaTheme="minorEastAsia" w:cstheme="minorEastAsia"/>
                <w:bCs/>
                <w:sz w:val="24"/>
                <w:highlight w:val="none"/>
              </w:rPr>
              <w:t>网》</w:t>
            </w:r>
            <w:r>
              <w:rPr>
                <w:rFonts w:hint="eastAsia" w:asciiTheme="minorEastAsia" w:hAnsiTheme="minorEastAsia" w:eastAsiaTheme="minorEastAsia" w:cstheme="minorEastAsia"/>
                <w:bCs/>
                <w:sz w:val="24"/>
                <w:highlight w:val="none"/>
                <w:lang w:eastAsia="zh-CN"/>
              </w:rPr>
              <w:t>、</w:t>
            </w: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cstheme="minorEastAsia"/>
                <w:bCs/>
                <w:sz w:val="24"/>
                <w:highlight w:val="none"/>
                <w:lang w:val="en-US" w:eastAsia="zh-CN"/>
              </w:rPr>
              <w:t>平利县人民政府网</w:t>
            </w:r>
            <w:r>
              <w:rPr>
                <w:rFonts w:hint="eastAsia" w:asciiTheme="minorEastAsia" w:hAnsiTheme="minorEastAsia" w:eastAsiaTheme="minorEastAsia" w:cstheme="minorEastAsia"/>
                <w:bCs/>
                <w:sz w:val="24"/>
                <w:highlight w:val="none"/>
              </w:rPr>
              <w:t>》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highlight w:val="none"/>
              </w:rPr>
              <w:t xml:space="preserve">公示期限：3日 </w:t>
            </w:r>
          </w:p>
        </w:tc>
      </w:tr>
      <w:tr>
        <w:tblPrEx>
          <w:tblCellMar>
            <w:top w:w="0" w:type="dxa"/>
            <w:left w:w="108" w:type="dxa"/>
            <w:bottom w:w="0" w:type="dxa"/>
            <w:right w:w="108" w:type="dxa"/>
          </w:tblCellMar>
        </w:tblPrEx>
        <w:trPr>
          <w:trHeight w:val="91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7.4</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是否授权评标委员会确定中标人</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overflowPunct/>
              <w:topLinePunct w:val="0"/>
              <w:autoSpaceDE/>
              <w:autoSpaceDN/>
              <w:bidi w:val="0"/>
              <w:adjustRightInd/>
              <w:snapToGrid/>
              <w:spacing w:line="440" w:lineRule="exact"/>
              <w:ind w:left="4" w:leftChars="0"/>
              <w:textAlignment w:val="auto"/>
              <w:rPr>
                <w:rFonts w:hint="eastAsia" w:ascii="宋体" w:hAnsi="宋体" w:eastAsia="宋体" w:cs="宋体"/>
                <w:color w:val="000000"/>
                <w:sz w:val="24"/>
                <w:szCs w:val="24"/>
                <w:highlight w:val="none"/>
              </w:rPr>
            </w:pPr>
            <w:r>
              <w:rPr>
                <w:rFonts w:hint="eastAsia" w:ascii="宋体" w:hAnsi="宋体" w:cs="宋体"/>
                <w:color w:val="auto"/>
                <w:sz w:val="24"/>
                <w:szCs w:val="24"/>
                <w:highlight w:val="none"/>
                <w:lang w:val="en-US" w:eastAsia="zh-CN"/>
              </w:rPr>
              <w:t>否</w:t>
            </w:r>
          </w:p>
        </w:tc>
      </w:tr>
      <w:tr>
        <w:tblPrEx>
          <w:tblCellMar>
            <w:top w:w="0" w:type="dxa"/>
            <w:left w:w="108" w:type="dxa"/>
            <w:bottom w:w="0" w:type="dxa"/>
            <w:right w:w="108" w:type="dxa"/>
          </w:tblCellMar>
        </w:tblPrEx>
        <w:trPr>
          <w:trHeight w:val="602"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7.5</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val="0"/>
              <w:autoSpaceDN w:val="0"/>
              <w:bidi w:val="0"/>
              <w:adjustRightInd/>
              <w:snapToGrid/>
              <w:spacing w:line="4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中标通知书发出形式</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overflowPunct/>
              <w:bidi w:val="0"/>
              <w:adjustRightInd/>
              <w:snapToGrid/>
              <w:spacing w:line="440" w:lineRule="exact"/>
              <w:ind w:left="4" w:leftChars="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书面形式</w:t>
            </w:r>
          </w:p>
        </w:tc>
      </w:tr>
      <w:tr>
        <w:tblPrEx>
          <w:tblCellMar>
            <w:top w:w="0" w:type="dxa"/>
            <w:left w:w="108" w:type="dxa"/>
            <w:bottom w:w="0" w:type="dxa"/>
            <w:right w:w="108" w:type="dxa"/>
          </w:tblCellMar>
        </w:tblPrEx>
        <w:trPr>
          <w:trHeight w:val="1343"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7.6</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中标结果</w:t>
            </w:r>
          </w:p>
          <w:p>
            <w:pPr>
              <w:keepNext w:val="0"/>
              <w:keepLines w:val="0"/>
              <w:pageBreakBefore w:val="0"/>
              <w:widowControl w:val="0"/>
              <w:kinsoku/>
              <w:overflowPunct/>
              <w:bidi w:val="0"/>
              <w:adjustRightInd/>
              <w:snapToGrid/>
              <w:spacing w:line="4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宋体" w:hAnsi="宋体" w:cs="宋体"/>
                <w:color w:val="auto"/>
                <w:sz w:val="24"/>
                <w:szCs w:val="24"/>
                <w:highlight w:val="none"/>
                <w:lang w:eastAsia="zh-CN"/>
              </w:rPr>
              <w:t>公示媒介及期限</w:t>
            </w:r>
          </w:p>
        </w:tc>
        <w:tc>
          <w:tcPr>
            <w:tcW w:w="64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852"/>
              </w:tabs>
              <w:kinsoku/>
              <w:overflowPunct/>
              <w:bidi w:val="0"/>
              <w:adjustRightInd/>
              <w:snapToGrid/>
              <w:spacing w:line="44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公示媒介：</w:t>
            </w:r>
            <w:r>
              <w:rPr>
                <w:rFonts w:hint="eastAsia" w:asciiTheme="minorEastAsia" w:hAnsiTheme="minorEastAsia" w:eastAsiaTheme="minorEastAsia" w:cstheme="minorEastAsia"/>
                <w:bCs/>
                <w:sz w:val="24"/>
                <w:highlight w:val="none"/>
              </w:rPr>
              <w:t>《陕西省公共资源交易平台》</w:t>
            </w:r>
            <w:r>
              <w:rPr>
                <w:rFonts w:hint="eastAsia" w:asciiTheme="minorEastAsia" w:hAnsiTheme="minorEastAsia" w:eastAsiaTheme="minorEastAsia" w:cstheme="minorEastAsia"/>
                <w:bCs/>
                <w:sz w:val="24"/>
                <w:highlight w:val="none"/>
                <w:lang w:eastAsia="zh-CN"/>
              </w:rPr>
              <w:t>、</w:t>
            </w:r>
            <w:r>
              <w:rPr>
                <w:rFonts w:hint="eastAsia" w:asciiTheme="minorEastAsia" w:hAnsiTheme="minorEastAsia" w:eastAsiaTheme="minorEastAsia" w:cstheme="minorEastAsia"/>
                <w:bCs/>
                <w:sz w:val="24"/>
                <w:highlight w:val="none"/>
              </w:rPr>
              <w:t>《陕西省采购与招标网》、《</w:t>
            </w:r>
            <w:r>
              <w:rPr>
                <w:rFonts w:hint="eastAsia" w:asciiTheme="minorEastAsia" w:hAnsiTheme="minorEastAsia" w:eastAsiaTheme="minorEastAsia" w:cstheme="minorEastAsia"/>
                <w:bCs/>
                <w:sz w:val="24"/>
                <w:highlight w:val="none"/>
                <w:lang w:eastAsia="zh-CN"/>
              </w:rPr>
              <w:t>安康市交通运输局</w:t>
            </w:r>
            <w:r>
              <w:rPr>
                <w:rFonts w:hint="eastAsia" w:asciiTheme="minorEastAsia" w:hAnsiTheme="minorEastAsia" w:eastAsiaTheme="minorEastAsia" w:cstheme="minorEastAsia"/>
                <w:bCs/>
                <w:sz w:val="24"/>
                <w:highlight w:val="none"/>
              </w:rPr>
              <w:t>网》</w:t>
            </w:r>
            <w:r>
              <w:rPr>
                <w:rFonts w:hint="eastAsia" w:asciiTheme="minorEastAsia" w:hAnsiTheme="minorEastAsia" w:eastAsiaTheme="minorEastAsia" w:cstheme="minorEastAsia"/>
                <w:bCs/>
                <w:sz w:val="24"/>
                <w:highlight w:val="none"/>
                <w:lang w:eastAsia="zh-CN"/>
              </w:rPr>
              <w:t>、</w:t>
            </w: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cstheme="minorEastAsia"/>
                <w:bCs/>
                <w:sz w:val="24"/>
                <w:highlight w:val="none"/>
                <w:lang w:val="en-US" w:eastAsia="zh-CN"/>
              </w:rPr>
              <w:t>平利县人民政府网</w:t>
            </w:r>
            <w:r>
              <w:rPr>
                <w:rFonts w:hint="eastAsia" w:asciiTheme="minorEastAsia" w:hAnsiTheme="minorEastAsia" w:eastAsiaTheme="minorEastAsia" w:cstheme="minorEastAsia"/>
                <w:bCs/>
                <w:sz w:val="24"/>
                <w:highlight w:val="none"/>
              </w:rPr>
              <w:t>》  。</w:t>
            </w:r>
          </w:p>
          <w:p>
            <w:pPr>
              <w:keepNext w:val="0"/>
              <w:keepLines w:val="0"/>
              <w:pageBreakBefore w:val="0"/>
              <w:widowControl w:val="0"/>
              <w:kinsoku/>
              <w:overflowPunct/>
              <w:bidi w:val="0"/>
              <w:adjustRightInd/>
              <w:snapToGrid/>
              <w:spacing w:line="440" w:lineRule="exact"/>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highlight w:val="none"/>
              </w:rPr>
              <w:t xml:space="preserve">公示期限：3日 </w:t>
            </w:r>
          </w:p>
        </w:tc>
      </w:tr>
      <w:tr>
        <w:tblPrEx>
          <w:tblCellMar>
            <w:top w:w="0" w:type="dxa"/>
            <w:left w:w="108" w:type="dxa"/>
            <w:bottom w:w="0" w:type="dxa"/>
            <w:right w:w="108" w:type="dxa"/>
          </w:tblCellMar>
        </w:tblPrEx>
        <w:trPr>
          <w:trHeight w:val="91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7.7.1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val="0"/>
              <w:autoSpaceDN w:val="0"/>
              <w:bidi w:val="0"/>
              <w:adjustRightInd/>
              <w:snapToGrid/>
              <w:spacing w:line="4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履约保证金</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overflowPunct/>
              <w:bidi w:val="0"/>
              <w:adjustRightInd/>
              <w:snapToGrid/>
              <w:spacing w:line="440" w:lineRule="exact"/>
              <w:ind w:left="4" w:leftChars="0"/>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履约保证金的形式：现金、支票、银行转账、</w:t>
            </w:r>
            <w:r>
              <w:rPr>
                <w:rFonts w:hint="eastAsia" w:ascii="宋体" w:hAnsi="宋体" w:cs="宋体"/>
                <w:color w:val="000000"/>
                <w:sz w:val="24"/>
                <w:szCs w:val="24"/>
                <w:highlight w:val="none"/>
                <w:lang w:val="en-US" w:eastAsia="zh-CN"/>
              </w:rPr>
              <w:t>银行保函</w:t>
            </w:r>
            <w:r>
              <w:rPr>
                <w:rFonts w:hint="eastAsia" w:ascii="宋体" w:hAnsi="宋体" w:cs="宋体"/>
                <w:color w:val="000000"/>
                <w:sz w:val="24"/>
                <w:szCs w:val="24"/>
                <w:highlight w:val="none"/>
                <w:lang w:eastAsia="zh-CN"/>
              </w:rPr>
              <w:t>或信用担保</w:t>
            </w:r>
          </w:p>
          <w:p>
            <w:pPr>
              <w:pStyle w:val="26"/>
              <w:keepNext w:val="0"/>
              <w:keepLines w:val="0"/>
              <w:pageBreakBefore w:val="0"/>
              <w:widowControl w:val="0"/>
              <w:kinsoku/>
              <w:overflowPunct/>
              <w:bidi w:val="0"/>
              <w:adjustRightInd/>
              <w:snapToGrid/>
              <w:spacing w:line="440" w:lineRule="exact"/>
              <w:ind w:left="4" w:leftChars="0"/>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履约保证金的金额：</w:t>
            </w:r>
            <w:r>
              <w:rPr>
                <w:rFonts w:hint="eastAsia" w:ascii="宋体" w:hAnsi="宋体" w:cs="宋体"/>
                <w:color w:val="000000"/>
                <w:sz w:val="24"/>
                <w:szCs w:val="24"/>
                <w:highlight w:val="none"/>
                <w:lang w:val="en-US" w:eastAsia="zh-CN"/>
              </w:rPr>
              <w:t>10%签约合同价</w:t>
            </w:r>
          </w:p>
        </w:tc>
      </w:tr>
      <w:tr>
        <w:tblPrEx>
          <w:tblCellMar>
            <w:top w:w="0" w:type="dxa"/>
            <w:left w:w="108" w:type="dxa"/>
            <w:bottom w:w="0" w:type="dxa"/>
            <w:right w:w="108" w:type="dxa"/>
          </w:tblCellMar>
        </w:tblPrEx>
        <w:trPr>
          <w:trHeight w:val="54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val="0"/>
              <w:autoSpaceDN w:val="0"/>
              <w:bidi w:val="0"/>
              <w:adjustRightInd/>
              <w:snapToGrid/>
              <w:spacing w:line="4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监督部门</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overflowPunct/>
              <w:bidi w:val="0"/>
              <w:adjustRightInd/>
              <w:snapToGrid/>
              <w:spacing w:line="440" w:lineRule="exact"/>
              <w:ind w:left="4" w:leftChars="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安康市交通运输局</w:t>
            </w:r>
          </w:p>
        </w:tc>
      </w:tr>
      <w:tr>
        <w:tblPrEx>
          <w:tblCellMar>
            <w:top w:w="0" w:type="dxa"/>
            <w:left w:w="108" w:type="dxa"/>
            <w:bottom w:w="0" w:type="dxa"/>
            <w:right w:w="108" w:type="dxa"/>
          </w:tblCellMar>
        </w:tblPrEx>
        <w:trPr>
          <w:trHeight w:val="45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val="0"/>
              <w:autoSpaceDN w:val="0"/>
              <w:bidi w:val="0"/>
              <w:adjustRightInd/>
              <w:snapToGrid/>
              <w:spacing w:line="44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是否采用</w:t>
            </w:r>
          </w:p>
          <w:p>
            <w:pPr>
              <w:keepNext w:val="0"/>
              <w:keepLines w:val="0"/>
              <w:pageBreakBefore w:val="0"/>
              <w:widowControl w:val="0"/>
              <w:kinsoku/>
              <w:overflowPunct/>
              <w:autoSpaceDE w:val="0"/>
              <w:autoSpaceDN w:val="0"/>
              <w:bidi w:val="0"/>
              <w:adjustRightInd/>
              <w:snapToGrid/>
              <w:spacing w:line="4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电子招标投标</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overflowPunct/>
              <w:bidi w:val="0"/>
              <w:adjustRightInd/>
              <w:snapToGrid/>
              <w:spacing w:line="440" w:lineRule="exact"/>
              <w:ind w:left="4" w:leftChars="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是</w:t>
            </w:r>
          </w:p>
        </w:tc>
      </w:tr>
      <w:tr>
        <w:tblPrEx>
          <w:tblCellMar>
            <w:top w:w="0" w:type="dxa"/>
            <w:left w:w="108" w:type="dxa"/>
            <w:bottom w:w="0" w:type="dxa"/>
            <w:right w:w="108" w:type="dxa"/>
          </w:tblCellMar>
        </w:tblPrEx>
        <w:trPr>
          <w:trHeight w:val="527" w:hRule="atLeast"/>
          <w:jc w:val="center"/>
        </w:trPr>
        <w:tc>
          <w:tcPr>
            <w:tcW w:w="97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需要补充的其他内容</w:t>
            </w:r>
          </w:p>
        </w:tc>
      </w:tr>
      <w:tr>
        <w:tblPrEx>
          <w:tblCellMar>
            <w:top w:w="0" w:type="dxa"/>
            <w:left w:w="108" w:type="dxa"/>
            <w:bottom w:w="0" w:type="dxa"/>
            <w:right w:w="108" w:type="dxa"/>
          </w:tblCellMar>
        </w:tblPrEx>
        <w:trPr>
          <w:trHeight w:val="45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auto"/>
                <w:sz w:val="24"/>
                <w:szCs w:val="24"/>
                <w:highlight w:val="none"/>
                <w:lang w:val="en-US" w:eastAsia="zh-CN"/>
              </w:rPr>
              <w:t>10.1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val="0"/>
              <w:autoSpaceDN w:val="0"/>
              <w:bidi w:val="0"/>
              <w:adjustRightInd/>
              <w:snapToGrid/>
              <w:spacing w:line="44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auto"/>
                <w:kern w:val="0"/>
                <w:sz w:val="24"/>
                <w:szCs w:val="24"/>
                <w:highlight w:val="none"/>
                <w:lang w:eastAsia="zh-CN"/>
              </w:rPr>
              <w:t>电子投标注意事项</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textAlignment w:val="auto"/>
              <w:rPr>
                <w:rFonts w:hint="eastAsia" w:ascii="宋体" w:hAnsi="宋体" w:eastAsia="宋体" w:cs="宋体"/>
                <w:color w:val="000000"/>
                <w:sz w:val="24"/>
                <w:szCs w:val="24"/>
                <w:highlight w:val="none"/>
              </w:rPr>
            </w:pPr>
            <w:r>
              <w:rPr>
                <w:rFonts w:hint="eastAsia" w:ascii="宋体" w:hAnsi="宋体" w:cs="宋体"/>
                <w:b w:val="0"/>
                <w:bCs w:val="0"/>
                <w:color w:val="auto"/>
                <w:kern w:val="0"/>
                <w:sz w:val="24"/>
                <w:szCs w:val="24"/>
                <w:highlight w:val="none"/>
                <w:lang w:val="en-US" w:eastAsia="zh-CN"/>
              </w:rPr>
              <w:t>投标人须使用“陕西省公共资源交易平台”规定的投标文件制作工具制作生成投标文件。相关操作流程详见全国公共资源交易平台（陕西省）网站“服务指南”—“下载专区”—《</w:t>
            </w:r>
            <w:r>
              <w:rPr>
                <w:rFonts w:hint="eastAsia" w:ascii="宋体" w:hAnsi="宋体" w:cs="宋体"/>
                <w:b w:val="0"/>
                <w:bCs w:val="0"/>
                <w:color w:val="auto"/>
                <w:kern w:val="0"/>
                <w:sz w:val="24"/>
                <w:szCs w:val="24"/>
                <w:highlight w:val="none"/>
                <w:lang w:val="en-US" w:eastAsia="zh-CN"/>
              </w:rPr>
              <w:fldChar w:fldCharType="begin"/>
            </w:r>
            <w:r>
              <w:rPr>
                <w:rFonts w:hint="eastAsia" w:ascii="宋体" w:hAnsi="宋体" w:cs="宋体"/>
                <w:b w:val="0"/>
                <w:bCs w:val="0"/>
                <w:color w:val="auto"/>
                <w:kern w:val="0"/>
                <w:sz w:val="24"/>
                <w:szCs w:val="24"/>
                <w:highlight w:val="none"/>
                <w:lang w:val="en-US" w:eastAsia="zh-CN"/>
              </w:rPr>
              <w:instrText xml:space="preserve"> HYPERLINK "http://www.sxggzyjy.cn/xwzx/002002/20210930/javascript:void(0);" \o "交通工程投标文件编制工具使用手册.doc" </w:instrText>
            </w:r>
            <w:r>
              <w:rPr>
                <w:rFonts w:hint="eastAsia" w:ascii="宋体" w:hAnsi="宋体" w:cs="宋体"/>
                <w:b w:val="0"/>
                <w:bCs w:val="0"/>
                <w:color w:val="auto"/>
                <w:kern w:val="0"/>
                <w:sz w:val="24"/>
                <w:szCs w:val="24"/>
                <w:highlight w:val="none"/>
                <w:lang w:val="en-US" w:eastAsia="zh-CN"/>
              </w:rPr>
              <w:fldChar w:fldCharType="separate"/>
            </w:r>
            <w:r>
              <w:rPr>
                <w:rFonts w:hint="eastAsia" w:ascii="宋体" w:hAnsi="宋体" w:cs="宋体"/>
                <w:b w:val="0"/>
                <w:bCs w:val="0"/>
                <w:color w:val="auto"/>
                <w:kern w:val="0"/>
                <w:sz w:val="24"/>
                <w:szCs w:val="24"/>
                <w:highlight w:val="none"/>
                <w:lang w:val="en-US" w:eastAsia="zh-CN"/>
              </w:rPr>
              <w:t>交通工程投标文件编制工具使用手册</w:t>
            </w:r>
            <w:r>
              <w:rPr>
                <w:rFonts w:hint="eastAsia" w:ascii="宋体" w:hAnsi="宋体" w:cs="宋体"/>
                <w:b w:val="0"/>
                <w:bCs w:val="0"/>
                <w:color w:val="auto"/>
                <w:kern w:val="0"/>
                <w:sz w:val="24"/>
                <w:szCs w:val="24"/>
                <w:highlight w:val="none"/>
                <w:lang w:val="en-US" w:eastAsia="zh-CN"/>
              </w:rPr>
              <w:fldChar w:fldCharType="end"/>
            </w:r>
            <w:r>
              <w:rPr>
                <w:rFonts w:hint="eastAsia" w:ascii="宋体" w:hAnsi="宋体" w:cs="宋体"/>
                <w:b w:val="0"/>
                <w:bCs w:val="0"/>
                <w:color w:val="auto"/>
                <w:kern w:val="0"/>
                <w:sz w:val="24"/>
                <w:szCs w:val="24"/>
                <w:highlight w:val="none"/>
                <w:lang w:val="en-US" w:eastAsia="zh-CN"/>
              </w:rPr>
              <w:t>》。投标人应及时下载招标文件和答疑纪要等相关文件，在投标截止前上传投标文件。投标人上传电子投标文件时，应使用稳定的网络环境。上传电子投标文件后应自行检查，如发现上传文件损坏，应在递交投标文件截止时间前重新上传并检查。开标时需携带生成（加密）电子投标文件时使用的加密锁（CA锁），以便对上传的投标文件进行解密。因投标人原因造成其投标文件无法解密的，按无效投标处理。</w:t>
            </w:r>
          </w:p>
        </w:tc>
      </w:tr>
      <w:tr>
        <w:tblPrEx>
          <w:tblCellMar>
            <w:top w:w="0" w:type="dxa"/>
            <w:left w:w="108" w:type="dxa"/>
            <w:bottom w:w="0" w:type="dxa"/>
            <w:right w:w="108" w:type="dxa"/>
          </w:tblCellMar>
        </w:tblPrEx>
        <w:trPr>
          <w:trHeight w:val="511"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10.2</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val="0"/>
              <w:autoSpaceDN w:val="0"/>
              <w:bidi w:val="0"/>
              <w:adjustRightInd/>
              <w:snapToGrid/>
              <w:spacing w:line="44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技术标评审方式</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暗标</w:t>
            </w:r>
          </w:p>
        </w:tc>
      </w:tr>
      <w:tr>
        <w:tblPrEx>
          <w:tblCellMar>
            <w:top w:w="0" w:type="dxa"/>
            <w:left w:w="108" w:type="dxa"/>
            <w:bottom w:w="0" w:type="dxa"/>
            <w:right w:w="108" w:type="dxa"/>
          </w:tblCellMar>
        </w:tblPrEx>
        <w:trPr>
          <w:trHeight w:val="45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10.3</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技术文件编制要求</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投标文件第一信封 (技术文件)为无标识形式编制，格式及内容均不得体现投标人有关的任何信息的文字或者标识出现。</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（1）封面：封面采用招标文件第九章“投标文件格式”规定的技术文件封面格式；</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（2）字体：宋体，颜色为黑色，所有文字 (含图表) 不应有加粗、斜体、下划线、边框、底纹、阴影、颜色等标记；</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（3）字号：标题三号居中设置，正文小四号，图表内文字五号；</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（4）内容：施工组织设计内容应按要求编写，不得多项、漏项或顺序编排错误，方案编写应简明扼要，突出工程施工重点、难点，有针对性措施。</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（5）排版：</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页眉：任何一页上均不得设置页眉</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页脚：任何一页上均不得设置页脚</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页码：任何一页上均不得设置页码</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行距：固定值28磅左右</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页边距：上2.5厘米，其余均为2厘米。</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各章节之间须分页编排，且不得加隔页。</w:t>
            </w:r>
          </w:p>
        </w:tc>
      </w:tr>
      <w:tr>
        <w:tblPrEx>
          <w:tblCellMar>
            <w:top w:w="0" w:type="dxa"/>
            <w:left w:w="108" w:type="dxa"/>
            <w:bottom w:w="0" w:type="dxa"/>
            <w:right w:w="108" w:type="dxa"/>
          </w:tblCellMar>
        </w:tblPrEx>
        <w:trPr>
          <w:trHeight w:val="45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10.4</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val="0"/>
              <w:autoSpaceDN w:val="0"/>
              <w:bidi w:val="0"/>
              <w:adjustRightInd/>
              <w:snapToGrid/>
              <w:spacing w:line="44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投标人代表</w:t>
            </w:r>
          </w:p>
          <w:p>
            <w:pPr>
              <w:keepNext w:val="0"/>
              <w:keepLines w:val="0"/>
              <w:pageBreakBefore w:val="0"/>
              <w:widowControl w:val="0"/>
              <w:kinsoku/>
              <w:overflowPunct/>
              <w:autoSpaceDE w:val="0"/>
              <w:autoSpaceDN w:val="0"/>
              <w:bidi w:val="0"/>
              <w:adjustRightInd/>
              <w:snapToGrid/>
              <w:spacing w:line="44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出席开标会</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eastAsia="zh-CN"/>
              </w:rPr>
              <w:t>投标人应按时出席开标会议，出席人数为</w:t>
            </w:r>
            <w:r>
              <w:rPr>
                <w:rFonts w:hint="eastAsia" w:ascii="宋体" w:hAnsi="宋体" w:cs="宋体"/>
                <w:b w:val="0"/>
                <w:bCs w:val="0"/>
                <w:color w:val="auto"/>
                <w:kern w:val="0"/>
                <w:sz w:val="24"/>
                <w:szCs w:val="24"/>
                <w:highlight w:val="none"/>
                <w:lang w:val="en-US" w:eastAsia="zh-CN"/>
              </w:rPr>
              <w:t>1人，出席人须为</w:t>
            </w:r>
            <w:r>
              <w:rPr>
                <w:rFonts w:hint="eastAsia" w:ascii="宋体" w:hAnsi="宋体" w:cs="宋体"/>
                <w:b w:val="0"/>
                <w:bCs w:val="0"/>
                <w:color w:val="auto"/>
                <w:kern w:val="0"/>
                <w:sz w:val="24"/>
                <w:szCs w:val="24"/>
                <w:highlight w:val="none"/>
                <w:lang w:eastAsia="zh-CN"/>
              </w:rPr>
              <w:t>法定代表人或其委托代理人。</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法定代表人出席的须提交法定代表人身份证明及身份证原件，委托代理人出席的须提交授权委托书及被授权人身份证原件。</w:t>
            </w:r>
          </w:p>
        </w:tc>
      </w:tr>
      <w:tr>
        <w:tblPrEx>
          <w:tblCellMar>
            <w:top w:w="0" w:type="dxa"/>
            <w:left w:w="108" w:type="dxa"/>
            <w:bottom w:w="0" w:type="dxa"/>
            <w:right w:w="108" w:type="dxa"/>
          </w:tblCellMar>
        </w:tblPrEx>
        <w:trPr>
          <w:trHeight w:val="45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10.5</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jc w:val="center"/>
              <w:textAlignment w:val="auto"/>
              <w:rPr>
                <w:rFonts w:hint="eastAsia" w:ascii="宋体" w:hAnsi="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eastAsia="zh-CN"/>
              </w:rPr>
              <w:t>重新招标</w:t>
            </w:r>
          </w:p>
        </w:tc>
        <w:tc>
          <w:tcPr>
            <w:tcW w:w="6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eastAsia="zh-CN"/>
              </w:rPr>
              <w:t>如出现下列情形之一的，本项目将重新招标：</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eastAsia="zh-CN"/>
              </w:rPr>
              <w:t>（1）递交投标文件的投标人数量少于3家；</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eastAsia="zh-CN"/>
              </w:rPr>
              <w:t>（2）经评审的有效投标人少于3个；</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eastAsia="zh-CN"/>
              </w:rPr>
              <w:t>（3）中标候选人均未与招标人签订合同；</w:t>
            </w:r>
          </w:p>
          <w:p>
            <w:pPr>
              <w:keepNext w:val="0"/>
              <w:keepLines w:val="0"/>
              <w:pageBreakBefore w:val="0"/>
              <w:widowControl w:val="0"/>
              <w:kinsoku/>
              <w:overflowPunct/>
              <w:bidi w:val="0"/>
              <w:adjustRightInd/>
              <w:snapToGrid/>
              <w:spacing w:line="440" w:lineRule="exact"/>
              <w:textAlignment w:val="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eastAsia="zh-CN"/>
              </w:rPr>
              <w:t>（4）法律规定的其他情形。</w:t>
            </w:r>
          </w:p>
        </w:tc>
      </w:tr>
    </w:tbl>
    <w:p>
      <w:pPr>
        <w:pStyle w:val="4"/>
        <w:pageBreakBefore w:val="0"/>
        <w:widowControl w:val="0"/>
        <w:kinsoku/>
        <w:wordWrap w:val="0"/>
        <w:overflowPunct/>
        <w:topLinePunct w:val="0"/>
        <w:autoSpaceDE/>
        <w:autoSpaceDN/>
        <w:bidi w:val="0"/>
        <w:adjustRightInd/>
        <w:spacing w:line="460" w:lineRule="exact"/>
        <w:rPr>
          <w:rFonts w:hint="eastAsia"/>
        </w:rPr>
      </w:pPr>
      <w:bookmarkStart w:id="33" w:name="_Toc144974497"/>
      <w:bookmarkStart w:id="34" w:name="_Toc221950083"/>
      <w:bookmarkStart w:id="35" w:name="_Toc168476047"/>
      <w:bookmarkStart w:id="36" w:name="_Toc168475644"/>
      <w:r>
        <w:rPr>
          <w:rFonts w:hint="eastAsia" w:ascii="宋体" w:hAnsi="宋体" w:eastAsia="宋体" w:cs="宋体"/>
          <w:color w:val="000000"/>
          <w:sz w:val="24"/>
          <w:szCs w:val="24"/>
          <w:highlight w:val="none"/>
        </w:rPr>
        <w:br w:type="page"/>
      </w:r>
      <w:bookmarkStart w:id="37" w:name="_Toc222029482"/>
      <w:bookmarkStart w:id="38" w:name="_Toc229305342"/>
      <w:bookmarkStart w:id="39" w:name="_Toc12898"/>
      <w:bookmarkStart w:id="40" w:name="_Toc222033833"/>
      <w:bookmarkStart w:id="41" w:name="_Toc222032651"/>
      <w:bookmarkStart w:id="42" w:name="_Toc222030984"/>
    </w:p>
    <w:p>
      <w:pPr>
        <w:pStyle w:val="4"/>
        <w:keepNext/>
        <w:keepLines/>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投标人须知正文</w:t>
      </w:r>
    </w:p>
    <w:p>
      <w:pPr>
        <w:pStyle w:val="4"/>
        <w:pageBreakBefore w:val="0"/>
        <w:widowControl w:val="0"/>
        <w:kinsoku/>
        <w:wordWrap w:val="0"/>
        <w:overflowPunct/>
        <w:topLinePunct w:val="0"/>
        <w:autoSpaceDE/>
        <w:autoSpaceDN/>
        <w:bidi w:val="0"/>
        <w:adjustRightInd/>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总则</w:t>
      </w:r>
      <w:bookmarkEnd w:id="33"/>
      <w:bookmarkEnd w:id="34"/>
      <w:bookmarkEnd w:id="35"/>
      <w:bookmarkEnd w:id="36"/>
      <w:bookmarkEnd w:id="37"/>
      <w:bookmarkEnd w:id="38"/>
      <w:bookmarkEnd w:id="39"/>
      <w:bookmarkEnd w:id="40"/>
      <w:bookmarkEnd w:id="41"/>
      <w:bookmarkEnd w:id="42"/>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bookmarkStart w:id="43" w:name="_Toc307416075"/>
      <w:bookmarkStart w:id="44" w:name="_Toc307417372"/>
      <w:bookmarkStart w:id="45" w:name="_Toc380069029"/>
      <w:bookmarkStart w:id="46" w:name="_Toc285028696"/>
      <w:bookmarkStart w:id="47" w:name="_Toc267472798"/>
      <w:bookmarkStart w:id="48" w:name="_Toc307485139"/>
      <w:bookmarkStart w:id="49" w:name="_Toc307415463"/>
      <w:bookmarkStart w:id="50" w:name="_Toc265657424"/>
      <w:bookmarkStart w:id="51" w:name="_Toc221950112"/>
      <w:r>
        <w:rPr>
          <w:rFonts w:hint="eastAsia" w:ascii="宋体" w:hAnsi="宋体" w:eastAsia="宋体" w:cs="宋体"/>
          <w:b/>
          <w:color w:val="000000"/>
          <w:sz w:val="24"/>
          <w:szCs w:val="24"/>
          <w:highlight w:val="none"/>
        </w:rPr>
        <w:t>1.1 项目概况</w:t>
      </w:r>
      <w:bookmarkEnd w:id="43"/>
      <w:bookmarkEnd w:id="44"/>
      <w:bookmarkEnd w:id="45"/>
      <w:bookmarkEnd w:id="46"/>
      <w:bookmarkEnd w:id="47"/>
      <w:bookmarkEnd w:id="48"/>
      <w:bookmarkEnd w:id="49"/>
      <w:bookmarkEnd w:id="50"/>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根据《中华人民共和国招标投标法》</w:t>
      </w:r>
      <w:r>
        <w:rPr>
          <w:rFonts w:hint="eastAsia" w:ascii="宋体" w:hAnsi="宋体" w:cs="宋体"/>
          <w:color w:val="000000"/>
          <w:sz w:val="24"/>
          <w:szCs w:val="24"/>
          <w:highlight w:val="none"/>
          <w:lang w:eastAsia="zh-CN"/>
        </w:rPr>
        <w:t>《中华人民共和国招标投标法实施条例》《公路工程建设项目招标投标管理办法》</w:t>
      </w:r>
      <w:r>
        <w:rPr>
          <w:rFonts w:hint="eastAsia" w:ascii="宋体" w:hAnsi="宋体" w:eastAsia="宋体" w:cs="宋体"/>
          <w:color w:val="000000"/>
          <w:sz w:val="24"/>
          <w:szCs w:val="24"/>
          <w:highlight w:val="none"/>
        </w:rPr>
        <w:t>等有关法律、法规和规章的规定，本招标项目</w:t>
      </w:r>
      <w:r>
        <w:rPr>
          <w:rFonts w:hint="eastAsia" w:ascii="宋体" w:hAnsi="宋体" w:eastAsia="宋体" w:cs="宋体"/>
          <w:color w:val="000000"/>
          <w:sz w:val="24"/>
          <w:szCs w:val="24"/>
          <w:highlight w:val="none"/>
          <w:lang w:eastAsia="zh-CN"/>
        </w:rPr>
        <w:t>已</w:t>
      </w:r>
      <w:r>
        <w:rPr>
          <w:rFonts w:hint="eastAsia" w:ascii="宋体" w:hAnsi="宋体" w:eastAsia="宋体" w:cs="宋体"/>
          <w:color w:val="000000"/>
          <w:sz w:val="24"/>
          <w:szCs w:val="24"/>
          <w:highlight w:val="none"/>
        </w:rPr>
        <w:t>具备招标条件，现对</w:t>
      </w:r>
      <w:r>
        <w:rPr>
          <w:rFonts w:hint="eastAsia" w:ascii="宋体" w:hAnsi="宋体" w:eastAsia="宋体" w:cs="宋体"/>
          <w:color w:val="000000"/>
          <w:sz w:val="24"/>
          <w:szCs w:val="24"/>
          <w:highlight w:val="none"/>
          <w:lang w:eastAsia="zh-CN"/>
        </w:rPr>
        <w:t>本项目</w:t>
      </w:r>
      <w:r>
        <w:rPr>
          <w:rFonts w:hint="eastAsia" w:ascii="宋体" w:hAnsi="宋体" w:eastAsia="宋体" w:cs="宋体"/>
          <w:color w:val="000000"/>
          <w:sz w:val="24"/>
          <w:szCs w:val="24"/>
          <w:highlight w:val="none"/>
        </w:rPr>
        <w:t>施工进行招标。</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招标人：见投标人须知前附表。</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招标代理机构：见投标人须知前附表。</w:t>
      </w:r>
    </w:p>
    <w:p>
      <w:pPr>
        <w:pageBreakBefore w:val="0"/>
        <w:widowControl w:val="0"/>
        <w:kinsoku/>
        <w:wordWrap w:val="0"/>
        <w:overflowPunct/>
        <w:topLinePunct w:val="0"/>
        <w:autoSpaceDE/>
        <w:autoSpaceDN/>
        <w:bidi w:val="0"/>
        <w:adjustRightInd/>
        <w:spacing w:line="46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1.1.4 项目名称：见投标人须知前附表。</w:t>
      </w:r>
      <w:r>
        <w:rPr>
          <w:rFonts w:hint="eastAsia" w:ascii="宋体" w:hAnsi="宋体" w:cs="宋体"/>
          <w:color w:val="000000"/>
          <w:sz w:val="24"/>
          <w:szCs w:val="24"/>
          <w:highlight w:val="none"/>
          <w:lang w:val="en-US" w:eastAsia="zh-CN"/>
        </w:rPr>
        <w:t xml:space="preserve">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 建设地点：见投标人须知前附表。</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1.1.6</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监督</w:t>
      </w:r>
      <w:r>
        <w:rPr>
          <w:rFonts w:hint="eastAsia" w:ascii="宋体" w:hAnsi="宋体" w:eastAsia="宋体" w:cs="宋体"/>
          <w:color w:val="000000"/>
          <w:sz w:val="24"/>
          <w:szCs w:val="24"/>
          <w:highlight w:val="none"/>
        </w:rPr>
        <w:t>管理机构：见投标人须知前附表。</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bookmarkStart w:id="52" w:name="_Toc265657425"/>
      <w:bookmarkStart w:id="53" w:name="_Toc267472799"/>
      <w:bookmarkStart w:id="54" w:name="_Toc307485140"/>
      <w:bookmarkStart w:id="55" w:name="_Toc307417373"/>
      <w:bookmarkStart w:id="56" w:name="_Toc307415464"/>
      <w:bookmarkStart w:id="57" w:name="_Toc380069030"/>
      <w:bookmarkStart w:id="58" w:name="_Toc285028697"/>
      <w:bookmarkStart w:id="59" w:name="_Toc307416076"/>
      <w:r>
        <w:rPr>
          <w:rFonts w:hint="eastAsia" w:ascii="宋体" w:hAnsi="宋体" w:eastAsia="宋体" w:cs="宋体"/>
          <w:b/>
          <w:color w:val="000000"/>
          <w:sz w:val="24"/>
          <w:szCs w:val="24"/>
          <w:highlight w:val="none"/>
        </w:rPr>
        <w:t xml:space="preserve">1.2 </w:t>
      </w:r>
      <w:r>
        <w:rPr>
          <w:rFonts w:hint="eastAsia" w:ascii="宋体" w:hAnsi="宋体" w:cs="宋体"/>
          <w:b/>
          <w:color w:val="000000"/>
          <w:sz w:val="24"/>
          <w:szCs w:val="24"/>
          <w:highlight w:val="none"/>
          <w:lang w:eastAsia="zh-CN"/>
        </w:rPr>
        <w:t>招标项目的</w:t>
      </w:r>
      <w:r>
        <w:rPr>
          <w:rFonts w:hint="eastAsia" w:ascii="宋体" w:hAnsi="宋体" w:eastAsia="宋体" w:cs="宋体"/>
          <w:b/>
          <w:color w:val="000000"/>
          <w:sz w:val="24"/>
          <w:szCs w:val="24"/>
          <w:highlight w:val="none"/>
        </w:rPr>
        <w:t>资金来源和落实情况</w:t>
      </w:r>
      <w:bookmarkEnd w:id="52"/>
      <w:bookmarkEnd w:id="53"/>
      <w:bookmarkEnd w:id="54"/>
      <w:bookmarkEnd w:id="55"/>
      <w:bookmarkEnd w:id="56"/>
      <w:bookmarkEnd w:id="57"/>
      <w:bookmarkEnd w:id="58"/>
      <w:bookmarkEnd w:id="59"/>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1.2.1 资金来源：见投标人须知前附表</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1.2.2 资金落实情况：见投标人须知前附表</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lang w:eastAsia="zh-CN"/>
        </w:rPr>
      </w:pPr>
      <w:bookmarkStart w:id="60" w:name="_Toc307415465"/>
      <w:bookmarkStart w:id="61" w:name="_Toc265657426"/>
      <w:bookmarkStart w:id="62" w:name="_Toc380069031"/>
      <w:bookmarkStart w:id="63" w:name="_Toc307417374"/>
      <w:bookmarkStart w:id="64" w:name="_Toc307485141"/>
      <w:bookmarkStart w:id="65" w:name="_Toc285028698"/>
      <w:bookmarkStart w:id="66" w:name="_Toc307416077"/>
      <w:bookmarkStart w:id="67" w:name="_Toc267472800"/>
      <w:r>
        <w:rPr>
          <w:rFonts w:hint="eastAsia" w:ascii="宋体" w:hAnsi="宋体" w:eastAsia="宋体" w:cs="宋体"/>
          <w:b/>
          <w:color w:val="000000"/>
          <w:sz w:val="24"/>
          <w:szCs w:val="24"/>
          <w:highlight w:val="none"/>
        </w:rPr>
        <w:t>1.3 招标范围、计划工期</w:t>
      </w:r>
      <w:r>
        <w:rPr>
          <w:rFonts w:hint="eastAsia" w:ascii="宋体" w:hAnsi="宋体" w:cs="宋体"/>
          <w:b/>
          <w:color w:val="000000"/>
          <w:sz w:val="24"/>
          <w:szCs w:val="24"/>
          <w:highlight w:val="none"/>
          <w:lang w:eastAsia="zh-CN"/>
        </w:rPr>
        <w:t>、</w:t>
      </w:r>
      <w:r>
        <w:rPr>
          <w:rFonts w:hint="eastAsia" w:ascii="宋体" w:hAnsi="宋体" w:eastAsia="宋体" w:cs="宋体"/>
          <w:b/>
          <w:color w:val="000000"/>
          <w:sz w:val="24"/>
          <w:szCs w:val="24"/>
          <w:highlight w:val="none"/>
        </w:rPr>
        <w:t>质量要求</w:t>
      </w:r>
      <w:bookmarkEnd w:id="60"/>
      <w:bookmarkEnd w:id="61"/>
      <w:bookmarkEnd w:id="62"/>
      <w:bookmarkEnd w:id="63"/>
      <w:bookmarkEnd w:id="64"/>
      <w:bookmarkEnd w:id="65"/>
      <w:bookmarkEnd w:id="66"/>
      <w:bookmarkEnd w:id="67"/>
      <w:r>
        <w:rPr>
          <w:rFonts w:hint="eastAsia" w:ascii="宋体" w:hAnsi="宋体" w:cs="宋体"/>
          <w:b/>
          <w:color w:val="000000"/>
          <w:sz w:val="24"/>
          <w:szCs w:val="24"/>
          <w:highlight w:val="none"/>
          <w:lang w:eastAsia="zh-CN"/>
        </w:rPr>
        <w:t>和安全目标</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1.3.1 招标范围：见投标人须知前附表</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1.3.2 </w:t>
      </w:r>
      <w:r>
        <w:rPr>
          <w:rFonts w:hint="eastAsia" w:ascii="宋体" w:hAnsi="宋体" w:eastAsia="宋体" w:cs="宋体"/>
          <w:color w:val="000000"/>
          <w:sz w:val="24"/>
          <w:szCs w:val="24"/>
          <w:highlight w:val="none"/>
          <w:lang w:eastAsia="zh-CN"/>
        </w:rPr>
        <w:t>本标段的计划工期</w:t>
      </w:r>
      <w:r>
        <w:rPr>
          <w:rFonts w:hint="eastAsia" w:ascii="宋体" w:hAnsi="宋体" w:eastAsia="宋体" w:cs="宋体"/>
          <w:color w:val="000000"/>
          <w:sz w:val="24"/>
          <w:szCs w:val="24"/>
          <w:highlight w:val="none"/>
        </w:rPr>
        <w:t>：见投标人须知前附表</w:t>
      </w:r>
      <w:r>
        <w:rPr>
          <w:rFonts w:hint="eastAsia" w:ascii="宋体" w:hAnsi="宋体" w:eastAsia="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1.3.3 </w:t>
      </w:r>
      <w:r>
        <w:rPr>
          <w:rFonts w:hint="eastAsia" w:ascii="宋体" w:hAnsi="宋体" w:eastAsia="宋体" w:cs="宋体"/>
          <w:color w:val="000000"/>
          <w:sz w:val="24"/>
          <w:szCs w:val="24"/>
          <w:highlight w:val="none"/>
          <w:lang w:eastAsia="zh-CN"/>
        </w:rPr>
        <w:t>本标段的</w:t>
      </w:r>
      <w:r>
        <w:rPr>
          <w:rFonts w:hint="eastAsia" w:ascii="宋体" w:hAnsi="宋体" w:eastAsia="宋体" w:cs="宋体"/>
          <w:color w:val="000000"/>
          <w:sz w:val="24"/>
          <w:szCs w:val="24"/>
          <w:highlight w:val="none"/>
        </w:rPr>
        <w:t>质量要求：见投标人须知前附表</w:t>
      </w:r>
      <w:r>
        <w:rPr>
          <w:rFonts w:hint="eastAsia" w:ascii="宋体" w:hAnsi="宋体" w:eastAsia="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本标段的安全目标</w:t>
      </w:r>
      <w:r>
        <w:rPr>
          <w:rFonts w:hint="eastAsia" w:ascii="宋体" w:hAnsi="宋体" w:eastAsia="宋体" w:cs="宋体"/>
          <w:color w:val="000000"/>
          <w:sz w:val="24"/>
          <w:szCs w:val="24"/>
          <w:highlight w:val="none"/>
        </w:rPr>
        <w:t>：见投标人须知前附表。</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bookmarkStart w:id="68" w:name="_Toc307417375"/>
      <w:bookmarkStart w:id="69" w:name="_Toc265657427"/>
      <w:bookmarkStart w:id="70" w:name="_Toc307415466"/>
      <w:bookmarkStart w:id="71" w:name="_Toc267472801"/>
      <w:bookmarkStart w:id="72" w:name="_Toc285028699"/>
      <w:bookmarkStart w:id="73" w:name="_Toc307416078"/>
      <w:bookmarkStart w:id="74" w:name="_Toc380069032"/>
      <w:bookmarkStart w:id="75" w:name="_Toc307485142"/>
      <w:r>
        <w:rPr>
          <w:rFonts w:hint="eastAsia" w:ascii="宋体" w:hAnsi="宋体" w:eastAsia="宋体" w:cs="宋体"/>
          <w:b/>
          <w:color w:val="000000"/>
          <w:sz w:val="24"/>
          <w:szCs w:val="24"/>
          <w:highlight w:val="none"/>
        </w:rPr>
        <w:t>1.4 投标人资格要求</w:t>
      </w:r>
      <w:bookmarkEnd w:id="68"/>
      <w:bookmarkEnd w:id="69"/>
      <w:bookmarkEnd w:id="70"/>
      <w:bookmarkEnd w:id="71"/>
      <w:bookmarkEnd w:id="72"/>
      <w:bookmarkEnd w:id="73"/>
      <w:bookmarkEnd w:id="74"/>
      <w:bookmarkEnd w:id="75"/>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bookmarkStart w:id="76" w:name="_Toc307415467"/>
      <w:bookmarkStart w:id="77" w:name="_Toc285028700"/>
      <w:bookmarkStart w:id="78" w:name="_Toc380069033"/>
      <w:bookmarkStart w:id="79" w:name="_Toc265657428"/>
      <w:bookmarkStart w:id="80" w:name="_Toc267472802"/>
      <w:bookmarkStart w:id="81" w:name="_Toc307485143"/>
      <w:bookmarkStart w:id="82" w:name="_Toc307417376"/>
      <w:bookmarkStart w:id="83" w:name="_Toc307416079"/>
      <w:r>
        <w:rPr>
          <w:rFonts w:hint="eastAsia" w:ascii="宋体" w:hAnsi="宋体" w:eastAsia="宋体" w:cs="宋体"/>
          <w:color w:val="000000"/>
          <w:sz w:val="24"/>
          <w:szCs w:val="24"/>
          <w:highlight w:val="none"/>
          <w:lang w:val="en-US" w:eastAsia="zh-CN"/>
        </w:rPr>
        <w:t>1.4.1投标人应具备承担本招标项目资质条件、能力和信誉：</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（1）资质要求：见投标人须知前附表；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（2）财务要求：见投标人须知前附表；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业绩</w:t>
      </w:r>
      <w:r>
        <w:rPr>
          <w:rFonts w:hint="eastAsia" w:ascii="宋体" w:hAnsi="宋体" w:eastAsia="宋体" w:cs="宋体"/>
          <w:color w:val="000000"/>
          <w:sz w:val="24"/>
          <w:szCs w:val="24"/>
          <w:highlight w:val="none"/>
          <w:lang w:val="en-US" w:eastAsia="zh-CN"/>
        </w:rPr>
        <w:t xml:space="preserve">要求：见投标人须知前附表；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信誉</w:t>
      </w:r>
      <w:r>
        <w:rPr>
          <w:rFonts w:hint="eastAsia" w:ascii="宋体" w:hAnsi="宋体" w:eastAsia="宋体" w:cs="宋体"/>
          <w:color w:val="000000"/>
          <w:sz w:val="24"/>
          <w:szCs w:val="24"/>
          <w:highlight w:val="none"/>
          <w:lang w:val="en-US" w:eastAsia="zh-CN"/>
        </w:rPr>
        <w:t>要求：见投标人须知前附表</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 xml:space="preserve">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项目经理和项目总工资格</w:t>
      </w:r>
      <w:r>
        <w:rPr>
          <w:rFonts w:hint="eastAsia" w:ascii="宋体" w:hAnsi="宋体" w:eastAsia="宋体" w:cs="宋体"/>
          <w:color w:val="000000"/>
          <w:sz w:val="24"/>
          <w:szCs w:val="24"/>
          <w:highlight w:val="none"/>
          <w:lang w:val="en-US" w:eastAsia="zh-CN"/>
        </w:rPr>
        <w:t xml:space="preserve">要求：见投标人须知前附表；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其他</w:t>
      </w:r>
      <w:r>
        <w:rPr>
          <w:rFonts w:hint="eastAsia" w:ascii="宋体" w:hAnsi="宋体" w:eastAsia="宋体" w:cs="宋体"/>
          <w:color w:val="000000"/>
          <w:sz w:val="24"/>
          <w:szCs w:val="24"/>
          <w:highlight w:val="none"/>
          <w:lang w:val="en-US" w:eastAsia="zh-CN"/>
        </w:rPr>
        <w:t>要求：见投标人须知前附表</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 xml:space="preserve"> </w:t>
      </w:r>
    </w:p>
    <w:p>
      <w:pPr>
        <w:pageBreakBefore w:val="0"/>
        <w:widowControl w:val="0"/>
        <w:kinsoku/>
        <w:wordWrap w:val="0"/>
        <w:overflowPunct/>
        <w:topLinePunct w:val="0"/>
        <w:autoSpaceDE/>
        <w:autoSpaceDN/>
        <w:bidi w:val="0"/>
        <w:adjustRightInd/>
        <w:spacing w:line="46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需要提交的相关证明材料见本章第3.5款的规定。</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1.4.2 投标人须知前附表规定接受联合体投标的，联合体除应符合本章第 1.4.1 项和投标人须知前附表的要求外，还应遵守以下规定：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（1）联合体各方应按招标文件提供的格式签订联合体协议书，明确联合体牵头人和各方权利义务，并承诺就中标项目向招标人承担连带责任；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（2）由同一专业的单位组成的联合体，按照资质等级较低的单位确定资质等级；</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（3）联合体各方不得再以自己名义单独或参加其他联合体在本招标项目中投标，否则各相关投标均无效</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ageBreakBefore w:val="0"/>
        <w:widowControl w:val="0"/>
        <w:kinsoku/>
        <w:wordWrap w:val="0"/>
        <w:overflowPunct/>
        <w:topLinePunct w:val="0"/>
        <w:autoSpaceDE/>
        <w:autoSpaceDN/>
        <w:bidi w:val="0"/>
        <w:adjustRightInd/>
        <w:spacing w:line="460" w:lineRule="exact"/>
        <w:ind w:firstLine="480" w:firstLineChars="200"/>
        <w:rPr>
          <w:rFonts w:hint="eastAsia"/>
          <w:lang w:val="en-US" w:eastAsia="zh-CN"/>
        </w:rPr>
      </w:pPr>
      <w:r>
        <w:rPr>
          <w:rFonts w:hint="eastAsia" w:ascii="宋体" w:hAnsi="宋体" w:eastAsia="宋体" w:cs="宋体"/>
          <w:color w:val="000000"/>
          <w:sz w:val="24"/>
          <w:szCs w:val="24"/>
          <w:highlight w:val="none"/>
          <w:lang w:val="en-US" w:eastAsia="zh-CN"/>
        </w:rPr>
        <w:t>（5）尽管委任了联合体牵头人，但联合体各成员在投标、签订合同与履行合同过程中，仍负有连带的和各自的法律责任。</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1.4.3 投标人不得</w:t>
      </w:r>
      <w:r>
        <w:rPr>
          <w:rFonts w:hint="eastAsia" w:ascii="宋体" w:hAnsi="宋体" w:cs="宋体"/>
          <w:color w:val="000000"/>
          <w:sz w:val="24"/>
          <w:szCs w:val="24"/>
          <w:highlight w:val="none"/>
          <w:lang w:val="en-US" w:eastAsia="zh-CN"/>
        </w:rPr>
        <w:t>与本标段相关单位</w:t>
      </w:r>
      <w:r>
        <w:rPr>
          <w:rFonts w:hint="eastAsia" w:ascii="宋体" w:hAnsi="宋体" w:eastAsia="宋体" w:cs="宋体"/>
          <w:color w:val="000000"/>
          <w:sz w:val="24"/>
          <w:szCs w:val="24"/>
          <w:highlight w:val="none"/>
          <w:lang w:val="en-US" w:eastAsia="zh-CN"/>
        </w:rPr>
        <w:t>存在下列</w:t>
      </w:r>
      <w:r>
        <w:rPr>
          <w:rFonts w:hint="eastAsia" w:ascii="宋体" w:hAnsi="宋体" w:cs="宋体"/>
          <w:color w:val="000000"/>
          <w:sz w:val="24"/>
          <w:szCs w:val="24"/>
          <w:highlight w:val="none"/>
          <w:lang w:val="en-US" w:eastAsia="zh-CN"/>
        </w:rPr>
        <w:t>关联关系</w:t>
      </w:r>
      <w:r>
        <w:rPr>
          <w:rFonts w:hint="eastAsia" w:ascii="宋体" w:hAnsi="宋体" w:eastAsia="宋体" w:cs="宋体"/>
          <w:color w:val="000000"/>
          <w:sz w:val="24"/>
          <w:szCs w:val="24"/>
          <w:highlight w:val="none"/>
          <w:lang w:val="en-US" w:eastAsia="zh-CN"/>
        </w:rPr>
        <w:t xml:space="preserve">： </w:t>
      </w:r>
    </w:p>
    <w:p>
      <w:pPr>
        <w:pageBreakBefore w:val="0"/>
        <w:widowControl w:val="0"/>
        <w:kinsoku/>
        <w:wordWrap w:val="0"/>
        <w:overflowPunct/>
        <w:topLinePunct w:val="0"/>
        <w:autoSpaceDE/>
        <w:autoSpaceDN/>
        <w:bidi w:val="0"/>
        <w:adjustRightInd/>
        <w:spacing w:line="46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（1）为招标人不具有独立法人资格的附属机构（单位）； </w:t>
      </w:r>
      <w:r>
        <w:rPr>
          <w:rFonts w:hint="eastAsia" w:ascii="宋体" w:hAnsi="宋体" w:cs="宋体"/>
          <w:color w:val="000000"/>
          <w:sz w:val="24"/>
          <w:szCs w:val="24"/>
          <w:highlight w:val="none"/>
          <w:lang w:val="en-US" w:eastAsia="zh-CN"/>
        </w:rPr>
        <w:t xml:space="preserve">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（2）与招标人存在利害关系且可能影响招标公正性；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（3）与本</w:t>
      </w:r>
      <w:r>
        <w:rPr>
          <w:rFonts w:hint="eastAsia" w:ascii="宋体" w:hAnsi="宋体" w:cs="宋体"/>
          <w:color w:val="000000"/>
          <w:sz w:val="24"/>
          <w:szCs w:val="24"/>
          <w:highlight w:val="none"/>
          <w:lang w:val="en-US" w:eastAsia="zh-CN"/>
        </w:rPr>
        <w:t>标段</w:t>
      </w:r>
      <w:r>
        <w:rPr>
          <w:rFonts w:hint="eastAsia" w:ascii="宋体" w:hAnsi="宋体" w:eastAsia="宋体" w:cs="宋体"/>
          <w:color w:val="000000"/>
          <w:sz w:val="24"/>
          <w:szCs w:val="24"/>
          <w:highlight w:val="none"/>
          <w:lang w:val="en-US" w:eastAsia="zh-CN"/>
        </w:rPr>
        <w:t xml:space="preserve">的其他投标人为同一个单位负责人；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（4）与本标段的其他投标人存在控股、管理关系；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为本标段前期准备提供设计或咨询服务的法人或其任何附属机构（单位）；</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为本标段的</w:t>
      </w:r>
      <w:r>
        <w:rPr>
          <w:rFonts w:hint="eastAsia" w:ascii="宋体" w:hAnsi="宋体" w:cs="宋体"/>
          <w:color w:val="000000"/>
          <w:sz w:val="24"/>
          <w:szCs w:val="24"/>
          <w:highlight w:val="none"/>
          <w:lang w:val="en-US" w:eastAsia="zh-CN"/>
        </w:rPr>
        <w:t>监理</w:t>
      </w:r>
      <w:r>
        <w:rPr>
          <w:rFonts w:hint="eastAsia" w:ascii="宋体" w:hAnsi="宋体" w:eastAsia="宋体" w:cs="宋体"/>
          <w:color w:val="000000"/>
          <w:sz w:val="24"/>
          <w:szCs w:val="24"/>
          <w:highlight w:val="none"/>
          <w:lang w:val="en-US" w:eastAsia="zh-CN"/>
        </w:rPr>
        <w:t xml:space="preserve">人；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）为本标段的</w:t>
      </w:r>
      <w:r>
        <w:rPr>
          <w:rFonts w:hint="eastAsia" w:ascii="宋体" w:hAnsi="宋体" w:cs="宋体"/>
          <w:color w:val="000000"/>
          <w:sz w:val="24"/>
          <w:szCs w:val="24"/>
          <w:highlight w:val="none"/>
          <w:lang w:val="en-US" w:eastAsia="zh-CN"/>
        </w:rPr>
        <w:t>代建人</w:t>
      </w:r>
      <w:r>
        <w:rPr>
          <w:rFonts w:hint="eastAsia" w:ascii="宋体" w:hAnsi="宋体" w:eastAsia="宋体" w:cs="宋体"/>
          <w:color w:val="000000"/>
          <w:sz w:val="24"/>
          <w:szCs w:val="24"/>
          <w:highlight w:val="none"/>
          <w:lang w:val="en-US" w:eastAsia="zh-CN"/>
        </w:rPr>
        <w:t xml:space="preserve">；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为本标段的招标代理机构；</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（9）与本标段的</w:t>
      </w:r>
      <w:r>
        <w:rPr>
          <w:rFonts w:hint="eastAsia" w:ascii="宋体" w:hAnsi="宋体" w:cs="宋体"/>
          <w:color w:val="000000"/>
          <w:sz w:val="24"/>
          <w:szCs w:val="24"/>
          <w:highlight w:val="none"/>
          <w:lang w:val="en-US" w:eastAsia="zh-CN"/>
        </w:rPr>
        <w:t>监理人或</w:t>
      </w:r>
      <w:r>
        <w:rPr>
          <w:rFonts w:hint="eastAsia" w:ascii="宋体" w:hAnsi="宋体" w:eastAsia="宋体" w:cs="宋体"/>
          <w:color w:val="000000"/>
          <w:sz w:val="24"/>
          <w:szCs w:val="24"/>
          <w:highlight w:val="none"/>
          <w:lang w:val="en-US" w:eastAsia="zh-CN"/>
        </w:rPr>
        <w:t xml:space="preserve">代建人或招标代理机构同为一个法定代表人；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 xml:space="preserve">）与本标段的监理人或代建人或招标代理机构存在控股或参股关系； </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）法律法规或投标人须知前附表规定的其他情形。</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1.4.4</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投标人不得存在下列不良状况或不良信用记录</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被省级及以上交通运输主管部门取消招标项目所在地的投标资格且处于有效期内</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被责令停业，暂扣或吊销执照，或吊销资质证书</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进入清算程序，或被宣告破产，或其他丧失履约能力的情形</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（4）在国家企业信用信息公示系统http://www.gsxt.gov.cn/)中被列入严重违法失信企业名单；</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（5）在“信用中国”网站(ttp://www.creditchina.gov.cn/) 中被列入失信被执行人名单；</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投标人、法定代表人、拟委任的项目经理在近三年内有行贿犯罪行为的</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法律法规或投标人须知前附表规定的其他情形。</w:t>
      </w:r>
    </w:p>
    <w:p>
      <w:pPr>
        <w:pageBreakBefore w:val="0"/>
        <w:widowControl w:val="0"/>
        <w:kinsoku/>
        <w:wordWrap w:val="0"/>
        <w:overflowPunct/>
        <w:topLinePunct w:val="0"/>
        <w:autoSpaceDE/>
        <w:autoSpaceDN/>
        <w:bidi w:val="0"/>
        <w:adjustRightInd/>
        <w:spacing w:line="460" w:lineRule="exact"/>
        <w:ind w:firstLine="480" w:firstLineChars="200"/>
        <w:rPr>
          <w:rFonts w:hint="default"/>
          <w:lang w:val="en-US" w:eastAsia="zh-CN"/>
        </w:rPr>
      </w:pPr>
      <w:r>
        <w:rPr>
          <w:rFonts w:hint="eastAsia" w:ascii="宋体" w:hAnsi="宋体" w:eastAsia="宋体" w:cs="宋体"/>
          <w:color w:val="000000"/>
          <w:sz w:val="24"/>
          <w:szCs w:val="24"/>
          <w:highlight w:val="none"/>
          <w:lang w:val="en-US" w:eastAsia="zh-CN"/>
        </w:rPr>
        <w:t>1.4.5 投标人(包括联合体各成员)应进入交通运输部“全国公路建设市场信用信息管理系统</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http://glxy.mot.gov.cn）”中的公路工程施工资质企业名录，且投标人名称和资质与该名录中的相应企业名称和资质完全一致。</w:t>
      </w:r>
      <w:r>
        <w:rPr>
          <w:rFonts w:hint="eastAsia" w:ascii="宋体" w:hAnsi="宋体" w:cs="宋体"/>
          <w:color w:val="000000"/>
          <w:sz w:val="24"/>
          <w:szCs w:val="24"/>
          <w:highlight w:val="none"/>
          <w:lang w:val="en-US" w:eastAsia="zh-CN"/>
        </w:rPr>
        <w:t xml:space="preserve">  </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 费用承担</w:t>
      </w:r>
      <w:bookmarkEnd w:id="76"/>
      <w:bookmarkEnd w:id="77"/>
      <w:bookmarkEnd w:id="78"/>
      <w:bookmarkEnd w:id="79"/>
      <w:bookmarkEnd w:id="80"/>
      <w:bookmarkEnd w:id="81"/>
      <w:bookmarkEnd w:id="82"/>
      <w:bookmarkEnd w:id="83"/>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投标人准备和参加投标活动发生的费用自理。</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bookmarkStart w:id="84" w:name="_Toc267472803"/>
      <w:bookmarkStart w:id="85" w:name="_Toc307417377"/>
      <w:bookmarkStart w:id="86" w:name="_Toc380069034"/>
      <w:bookmarkStart w:id="87" w:name="_Toc307416080"/>
      <w:bookmarkStart w:id="88" w:name="_Toc307415468"/>
      <w:bookmarkStart w:id="89" w:name="_Toc265657429"/>
      <w:bookmarkStart w:id="90" w:name="_Toc307485144"/>
      <w:bookmarkStart w:id="91" w:name="_Toc285028701"/>
      <w:r>
        <w:rPr>
          <w:rFonts w:hint="eastAsia" w:ascii="宋体" w:hAnsi="宋体" w:eastAsia="宋体" w:cs="宋体"/>
          <w:b/>
          <w:color w:val="000000"/>
          <w:sz w:val="24"/>
          <w:szCs w:val="24"/>
          <w:highlight w:val="none"/>
        </w:rPr>
        <w:t>1.6 保密</w:t>
      </w:r>
      <w:bookmarkEnd w:id="84"/>
      <w:bookmarkEnd w:id="85"/>
      <w:bookmarkEnd w:id="86"/>
      <w:bookmarkEnd w:id="87"/>
      <w:bookmarkEnd w:id="88"/>
      <w:bookmarkEnd w:id="89"/>
      <w:bookmarkEnd w:id="90"/>
      <w:bookmarkEnd w:id="91"/>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参与招标投标活动的各方应对招标文件和投标文件中的商业和技术等秘密保密，违者应对由此造成的后果承担法律责任。</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bookmarkStart w:id="92" w:name="_Toc285028702"/>
      <w:bookmarkStart w:id="93" w:name="_Toc307416081"/>
      <w:bookmarkStart w:id="94" w:name="_Toc380069035"/>
      <w:bookmarkStart w:id="95" w:name="_Toc307485145"/>
      <w:bookmarkStart w:id="96" w:name="_Toc267472804"/>
      <w:bookmarkStart w:id="97" w:name="_Toc265657430"/>
      <w:bookmarkStart w:id="98" w:name="_Toc307415469"/>
      <w:bookmarkStart w:id="99" w:name="_Toc307417378"/>
      <w:r>
        <w:rPr>
          <w:rFonts w:hint="eastAsia" w:ascii="宋体" w:hAnsi="宋体" w:eastAsia="宋体" w:cs="宋体"/>
          <w:b/>
          <w:color w:val="000000"/>
          <w:sz w:val="24"/>
          <w:szCs w:val="24"/>
          <w:highlight w:val="none"/>
        </w:rPr>
        <w:t>1.7 语言文字</w:t>
      </w:r>
      <w:bookmarkEnd w:id="92"/>
      <w:bookmarkEnd w:id="93"/>
      <w:bookmarkEnd w:id="94"/>
      <w:bookmarkEnd w:id="95"/>
      <w:bookmarkEnd w:id="96"/>
      <w:bookmarkEnd w:id="97"/>
      <w:bookmarkEnd w:id="98"/>
      <w:bookmarkEnd w:id="99"/>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招标投标</w:t>
      </w:r>
      <w:r>
        <w:rPr>
          <w:rFonts w:hint="eastAsia" w:ascii="宋体" w:hAnsi="宋体" w:cs="宋体"/>
          <w:color w:val="000000"/>
          <w:sz w:val="24"/>
          <w:szCs w:val="24"/>
          <w:highlight w:val="none"/>
          <w:lang w:eastAsia="zh-CN"/>
        </w:rPr>
        <w:t>文件使用的语言文字为</w:t>
      </w:r>
      <w:r>
        <w:rPr>
          <w:rFonts w:hint="eastAsia" w:ascii="宋体" w:hAnsi="宋体" w:eastAsia="宋体" w:cs="宋体"/>
          <w:color w:val="000000"/>
          <w:sz w:val="24"/>
          <w:szCs w:val="24"/>
          <w:highlight w:val="none"/>
        </w:rPr>
        <w:t>中文</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专用术语</w:t>
      </w:r>
      <w:r>
        <w:rPr>
          <w:rFonts w:hint="eastAsia" w:ascii="宋体" w:hAnsi="宋体" w:cs="宋体"/>
          <w:color w:val="000000"/>
          <w:sz w:val="24"/>
          <w:szCs w:val="24"/>
          <w:highlight w:val="none"/>
          <w:lang w:eastAsia="zh-CN"/>
        </w:rPr>
        <w:t>使用外文的，</w:t>
      </w:r>
      <w:r>
        <w:rPr>
          <w:rFonts w:hint="eastAsia" w:ascii="宋体" w:hAnsi="宋体" w:eastAsia="宋体" w:cs="宋体"/>
          <w:color w:val="000000"/>
          <w:sz w:val="24"/>
          <w:szCs w:val="24"/>
          <w:highlight w:val="none"/>
        </w:rPr>
        <w:t>应附有中文注释。</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bookmarkStart w:id="100" w:name="_Toc307417379"/>
      <w:bookmarkStart w:id="101" w:name="_Toc380069036"/>
      <w:bookmarkStart w:id="102" w:name="_Toc307485146"/>
      <w:bookmarkStart w:id="103" w:name="_Toc267472805"/>
      <w:bookmarkStart w:id="104" w:name="_Toc307416082"/>
      <w:bookmarkStart w:id="105" w:name="_Toc307415470"/>
      <w:bookmarkStart w:id="106" w:name="_Toc285028703"/>
      <w:bookmarkStart w:id="107" w:name="_Toc265657431"/>
      <w:r>
        <w:rPr>
          <w:rFonts w:hint="eastAsia" w:ascii="宋体" w:hAnsi="宋体" w:eastAsia="宋体" w:cs="宋体"/>
          <w:b/>
          <w:color w:val="000000"/>
          <w:sz w:val="24"/>
          <w:szCs w:val="24"/>
          <w:highlight w:val="none"/>
        </w:rPr>
        <w:t>1.8 计量单位</w:t>
      </w:r>
      <w:bookmarkEnd w:id="100"/>
      <w:bookmarkEnd w:id="101"/>
      <w:bookmarkEnd w:id="102"/>
      <w:bookmarkEnd w:id="103"/>
      <w:bookmarkEnd w:id="104"/>
      <w:bookmarkEnd w:id="105"/>
      <w:bookmarkEnd w:id="106"/>
      <w:bookmarkEnd w:id="107"/>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所有计量均采用中华人民共和国法定计量单位。</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1.9</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踏勘现场</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1.9.1 </w:t>
      </w:r>
      <w:bookmarkEnd w:id="51"/>
      <w:r>
        <w:rPr>
          <w:rFonts w:hint="eastAsia" w:ascii="宋体" w:hAnsi="宋体" w:eastAsia="宋体" w:cs="宋体"/>
          <w:color w:val="000000"/>
          <w:sz w:val="24"/>
          <w:szCs w:val="24"/>
          <w:highlight w:val="none"/>
        </w:rPr>
        <w:t>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1.9.2 投标人踏勘现场发生的费用自理。</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1.9.3 除招标人的原因外</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投标人自行负责在踏勘现场中所发生的人员伤亡和财产损失。</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1.9.4 招标人在踏勘现场中介绍的工程场地和相关的周边环境情况，供投标人在编制投标文件时参考，招标人不对投标人据此做出的判断和决策负责。 </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rPr>
      </w:pPr>
      <w:r>
        <w:rPr>
          <w:rFonts w:hint="eastAsia" w:ascii="宋体" w:hAnsi="宋体" w:eastAsia="宋体" w:cs="宋体"/>
          <w:color w:val="000000"/>
          <w:sz w:val="24"/>
          <w:szCs w:val="24"/>
          <w:highlight w:val="none"/>
        </w:rPr>
        <w:t>1.9.5</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bookmarkStart w:id="108" w:name="_Toc221950125"/>
      <w:r>
        <w:rPr>
          <w:rFonts w:hint="eastAsia" w:ascii="宋体" w:hAnsi="宋体" w:eastAsia="宋体" w:cs="宋体"/>
          <w:b/>
          <w:color w:val="000000"/>
          <w:sz w:val="24"/>
          <w:szCs w:val="24"/>
          <w:highlight w:val="none"/>
        </w:rPr>
        <w:t>1.10</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投标预备会</w:t>
      </w:r>
    </w:p>
    <w:bookmarkEnd w:id="108"/>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1.10.1</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第一章“招标公告”或“投标邀请书”规定召开投标预备会的，招标人按规定的时间和地点召开投标预备会，澄清投标人提出的问题。</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1.10.2</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投标人应按投标人须知前附表规定的时间和形式将提出的问题送达招标人，以便招标人在会议期间澄清。</w:t>
      </w:r>
      <w:r>
        <w:rPr>
          <w:rFonts w:hint="eastAsia" w:ascii="宋体" w:hAnsi="宋体" w:eastAsia="宋体" w:cs="宋体"/>
          <w:color w:val="000000"/>
          <w:sz w:val="24"/>
          <w:szCs w:val="24"/>
          <w:highlight w:val="none"/>
          <w:lang w:val="en-US" w:eastAsia="zh-CN"/>
        </w:rPr>
        <w:t>（本项目不适用）</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1.10.3 投标预备会后</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招标人将对投标人所提问题的澄清</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以本章第2.2.1款规定的形式通知。该澄清内容为招标文件的组成部分</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（本项目不适用）</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1.11</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分包</w:t>
      </w:r>
      <w:r>
        <w:rPr>
          <w:rFonts w:hint="eastAsia" w:ascii="宋体" w:hAnsi="宋体" w:eastAsia="宋体" w:cs="宋体"/>
          <w:color w:val="000000"/>
          <w:sz w:val="24"/>
          <w:szCs w:val="24"/>
          <w:highlight w:val="none"/>
          <w:lang w:val="en-US" w:eastAsia="zh-CN"/>
        </w:rPr>
        <w:t>（本项目不适用）</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eastAsia="zh-CN"/>
        </w:rPr>
      </w:pPr>
      <w:bookmarkStart w:id="109" w:name="_Toc168475657"/>
      <w:bookmarkStart w:id="110" w:name="_Toc221950136"/>
      <w:bookmarkStart w:id="111" w:name="_Toc144974510"/>
      <w:bookmarkStart w:id="112" w:name="_Toc222032652"/>
      <w:bookmarkStart w:id="113" w:name="_Toc222029483"/>
      <w:bookmarkStart w:id="114" w:name="_Toc222033834"/>
      <w:bookmarkStart w:id="115" w:name="_Toc17536"/>
      <w:bookmarkStart w:id="116" w:name="_Toc229305343"/>
      <w:bookmarkStart w:id="117" w:name="_Toc222030985"/>
      <w:bookmarkStart w:id="118" w:name="_Toc168476060"/>
      <w:r>
        <w:rPr>
          <w:rFonts w:hint="eastAsia" w:ascii="宋体" w:hAnsi="宋体" w:eastAsia="宋体" w:cs="宋体"/>
          <w:color w:val="000000"/>
          <w:sz w:val="24"/>
          <w:szCs w:val="24"/>
          <w:highlight w:val="none"/>
        </w:rPr>
        <w:t>1.11.1 投标人拟在中标后将中标项目的部分非主体、非关键性工作进行分包的，应符合以下规定</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分包内容要求</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允许分包的工程范围仅限于非关键性工程或适合专业化队伍施工的专项工程。招标人允许分包或不允许分包的专项工程</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如有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应在投标人须知前附表中载明。</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接受分包的第三人资格要求</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分包人的资格能力应与其分包工程的标准和规模相适应，且具备投标人须知前附表中规定的资格条件。</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其他要求</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投标人如有分包计划，应按第九章“投标文件格式”的要求填写“拟分包项目情况表”，明确拟分包的工程及规模，且投标人中标后的分包应满足合同条款的相关要求。</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1.11.2</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中标人不得向他人转让中标项目，接受分包的人不得再次分包。中标人应就分包项目向招标人负责，接受分包的人就分包项目承担连带责任。</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lang w:val="en-US"/>
        </w:rPr>
      </w:pPr>
      <w:r>
        <w:rPr>
          <w:rFonts w:hint="eastAsia" w:ascii="宋体" w:hAnsi="宋体" w:eastAsia="宋体" w:cs="宋体"/>
          <w:b/>
          <w:color w:val="000000"/>
          <w:sz w:val="24"/>
          <w:szCs w:val="24"/>
          <w:highlight w:val="none"/>
          <w:lang w:val="en-US"/>
        </w:rPr>
        <w:t xml:space="preserve">1.12 响应和偏差 </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1.12.1</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rPr>
        <w:t>投标文件偏离招标文件某些要求，视为投标文件存在偏差。偏差包括重大偏差和细微偏差。</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1.12.2</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rPr>
        <w:t>投标文件应对招标文件的实质性要求和条件作出满足性或更有利于招标人的响应，否则，视为投标文件存在重大偏差，投标人的投标将被否决。</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投标文件存在第三章“评标办法”中所列任一否决投标情形的，均属于存在重大偏差。</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rPr>
        <w:t>1.12.3</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rPr>
        <w:t>投标文件中的下列偏差为细微偏差</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rPr>
        <w:t>在按照第三章“评标办法”的规定对投标价进行算术性错误修正及其他错误修正后，最终投标报价未超过最高投标限价（如有）的情况下，出现第三章“评标办法”规定的算术性错误和投标报价的其他错误</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rPr>
        <w:t>施工组织设计</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rPr>
        <w:t>含关键工程技术方案</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rPr>
        <w:t>和项目管理机构不够完善</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val="en-US"/>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rPr>
        <w:t>投标文件个别文字有遗漏错误等不影响投标文件实质性内容的偏差。</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rPr>
        <w:t>1.12.4</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rPr>
        <w:t>评标委员会对投标文件中的细微偏差按如下规定处理</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rPr>
        <w:t>对于本章第1.12.3项</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rPr>
        <w:t>目所述的细微偏差，按照第三章“评标办法”的规定予以修正并要求投标人进行澄清</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rPr>
        <w:t>对于本章第1.12.3项</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rPr>
        <w:t>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r>
        <w:rPr>
          <w:rFonts w:hint="eastAsia" w:ascii="宋体" w:hAnsi="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ascii="宋体" w:hAnsi="宋体" w:eastAsia="宋体" w:cs="宋体"/>
          <w:color w:val="000000"/>
          <w:sz w:val="24"/>
          <w:szCs w:val="24"/>
          <w:highlight w:val="none"/>
          <w:lang w:val="en-US"/>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rPr>
        <w:t>对于本章第1.12.3项</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rPr>
        <w:t>目所述的细微偏差，可要求投标人对细微偏差进行澄清。</w:t>
      </w:r>
    </w:p>
    <w:p>
      <w:pPr>
        <w:pageBreakBefore w:val="0"/>
        <w:widowControl w:val="0"/>
        <w:kinsoku/>
        <w:wordWrap w:val="0"/>
        <w:overflowPunct/>
        <w:topLinePunct w:val="0"/>
        <w:autoSpaceDE/>
        <w:autoSpaceDN/>
        <w:bidi w:val="0"/>
        <w:adjustRightInd/>
        <w:spacing w:line="460" w:lineRule="exact"/>
        <w:ind w:left="105" w:leftChars="50" w:firstLine="360" w:firstLineChars="150"/>
        <w:rPr>
          <w:rFonts w:hint="eastAsia"/>
          <w:lang w:val="en-US"/>
        </w:rPr>
      </w:pPr>
      <w:r>
        <w:rPr>
          <w:rFonts w:hint="eastAsia" w:ascii="宋体" w:hAnsi="宋体" w:eastAsia="宋体" w:cs="宋体"/>
          <w:color w:val="000000"/>
          <w:sz w:val="24"/>
          <w:szCs w:val="24"/>
          <w:highlight w:val="none"/>
          <w:lang w:val="en-US"/>
        </w:rPr>
        <w:t>1.12.5 投标人应根据招标文件的要求提供施工组织设计等内容以对招标文件作出响应。</w:t>
      </w:r>
    </w:p>
    <w:p>
      <w:pPr>
        <w:pStyle w:val="4"/>
        <w:pageBreakBefore w:val="0"/>
        <w:widowControl w:val="0"/>
        <w:kinsoku/>
        <w:wordWrap w:val="0"/>
        <w:overflowPunct/>
        <w:topLinePunct w:val="0"/>
        <w:autoSpaceDE/>
        <w:autoSpaceDN/>
        <w:bidi w:val="0"/>
        <w:adjustRightInd/>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招标文件</w:t>
      </w:r>
      <w:bookmarkEnd w:id="109"/>
      <w:bookmarkEnd w:id="110"/>
      <w:bookmarkEnd w:id="111"/>
      <w:bookmarkEnd w:id="112"/>
      <w:bookmarkEnd w:id="113"/>
      <w:bookmarkEnd w:id="114"/>
      <w:bookmarkEnd w:id="115"/>
      <w:bookmarkEnd w:id="116"/>
      <w:bookmarkEnd w:id="117"/>
      <w:bookmarkEnd w:id="118"/>
    </w:p>
    <w:p>
      <w:pPr>
        <w:pageBreakBefore w:val="0"/>
        <w:widowControl w:val="0"/>
        <w:kinsoku/>
        <w:wordWrap w:val="0"/>
        <w:overflowPunct/>
        <w:topLinePunct w:val="0"/>
        <w:autoSpaceDE/>
        <w:autoSpaceDN/>
        <w:bidi w:val="0"/>
        <w:adjustRightInd/>
        <w:snapToGrid w:val="0"/>
        <w:spacing w:line="460" w:lineRule="exact"/>
        <w:rPr>
          <w:rFonts w:hint="eastAsia" w:ascii="宋体" w:hAnsi="宋体" w:cs="宋体"/>
          <w:b/>
          <w:bCs/>
          <w:color w:val="000000"/>
          <w:sz w:val="24"/>
          <w:szCs w:val="24"/>
          <w:highlight w:val="none"/>
          <w:lang w:eastAsia="zh-CN"/>
        </w:rPr>
      </w:pPr>
      <w:bookmarkStart w:id="119" w:name="_Toc221950142"/>
      <w:r>
        <w:rPr>
          <w:rFonts w:hint="eastAsia" w:ascii="宋体" w:hAnsi="宋体" w:eastAsia="宋体" w:cs="宋体"/>
          <w:b/>
          <w:bCs/>
          <w:color w:val="000000"/>
          <w:sz w:val="24"/>
          <w:szCs w:val="24"/>
          <w:highlight w:val="none"/>
          <w:lang w:val="en-US" w:eastAsia="zh-CN"/>
        </w:rPr>
        <w:t>2.1</w:t>
      </w:r>
      <w:r>
        <w:rPr>
          <w:rFonts w:hint="eastAsia" w:ascii="宋体" w:hAnsi="宋体" w:cs="宋体"/>
          <w:b/>
          <w:bCs/>
          <w:color w:val="000000"/>
          <w:sz w:val="24"/>
          <w:szCs w:val="24"/>
          <w:highlight w:val="none"/>
          <w:lang w:val="en-US" w:eastAsia="zh-CN"/>
        </w:rPr>
        <w:t xml:space="preserve"> </w:t>
      </w:r>
      <w:r>
        <w:rPr>
          <w:rFonts w:hint="eastAsia" w:ascii="宋体" w:hAnsi="宋体" w:cs="宋体"/>
          <w:b/>
          <w:bCs/>
          <w:color w:val="000000"/>
          <w:sz w:val="24"/>
          <w:szCs w:val="24"/>
          <w:highlight w:val="none"/>
          <w:lang w:eastAsia="zh-CN"/>
        </w:rPr>
        <w:t>招标文件的组成</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本招标文件包括：</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Times New Roman"/>
          <w:sz w:val="24"/>
          <w:highlight w:val="none"/>
          <w:lang w:val="en-US"/>
        </w:rPr>
        <w:t>招标公告</w:t>
      </w:r>
      <w:r>
        <w:rPr>
          <w:rFonts w:hint="eastAsia" w:ascii="宋体" w:hAnsi="宋体" w:eastAsia="宋体" w:cs="宋体"/>
          <w:color w:val="000000"/>
          <w:sz w:val="24"/>
          <w:szCs w:val="24"/>
          <w:highlight w:val="none"/>
        </w:rPr>
        <w:t>；</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投标人须知；</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评标办法；</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合同条款及格式；</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）工程量清单；</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）图纸；</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）技术规范；</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）工程量清单计量规则；</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）投标文件格式；</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）投标人须知前附表规定的其他材料。</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根据本章第</w:t>
      </w:r>
      <w:r>
        <w:rPr>
          <w:rFonts w:hint="eastAsia" w:ascii="宋体" w:hAnsi="宋体" w:cs="宋体"/>
          <w:color w:val="000000"/>
          <w:sz w:val="24"/>
          <w:szCs w:val="24"/>
          <w:highlight w:val="none"/>
          <w:lang w:val="en-US" w:eastAsia="zh-CN"/>
        </w:rPr>
        <w:t>1.10</w:t>
      </w:r>
      <w:r>
        <w:rPr>
          <w:rFonts w:hint="eastAsia" w:ascii="宋体" w:hAnsi="宋体" w:eastAsia="宋体" w:cs="宋体"/>
          <w:color w:val="000000"/>
          <w:sz w:val="24"/>
          <w:szCs w:val="24"/>
          <w:highlight w:val="none"/>
        </w:rPr>
        <w:t>款</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第2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款</w:t>
      </w:r>
      <w:r>
        <w:rPr>
          <w:rFonts w:hint="eastAsia" w:ascii="宋体" w:hAnsi="宋体" w:cs="宋体"/>
          <w:color w:val="000000"/>
          <w:sz w:val="24"/>
          <w:szCs w:val="24"/>
          <w:highlight w:val="none"/>
          <w:lang w:eastAsia="zh-CN"/>
        </w:rPr>
        <w:t>和第</w:t>
      </w:r>
      <w:r>
        <w:rPr>
          <w:rFonts w:hint="eastAsia" w:ascii="宋体" w:hAnsi="宋体" w:cs="宋体"/>
          <w:color w:val="000000"/>
          <w:sz w:val="24"/>
          <w:szCs w:val="24"/>
          <w:highlight w:val="none"/>
          <w:lang w:val="en-US" w:eastAsia="zh-CN"/>
        </w:rPr>
        <w:t>2.3款</w:t>
      </w:r>
      <w:r>
        <w:rPr>
          <w:rFonts w:hint="eastAsia" w:ascii="宋体" w:hAnsi="宋体" w:eastAsia="宋体" w:cs="宋体"/>
          <w:color w:val="000000"/>
          <w:sz w:val="24"/>
          <w:szCs w:val="24"/>
          <w:highlight w:val="none"/>
        </w:rPr>
        <w:t>对招标文件所作的澄清、修改，构成招标文件的组成部分。</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rPr>
      </w:pPr>
      <w:r>
        <w:rPr>
          <w:rFonts w:hint="eastAsia" w:ascii="宋体" w:hAnsi="宋体" w:eastAsia="宋体" w:cs="宋体"/>
          <w:color w:val="000000"/>
          <w:sz w:val="24"/>
          <w:szCs w:val="24"/>
          <w:highlight w:val="none"/>
        </w:rPr>
        <w:t>当招标文件、招标文件的澄清或修改等在同一内容的表述上不一致时，以最后发出的书面文件为准。</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2.2</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招标文件的澄清</w:t>
      </w:r>
    </w:p>
    <w:bookmarkEnd w:id="119"/>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招标文件的澄清以投标人须知前附表规定的形式发给所有购买招标文件的投标人，但不指明澄清问题的来源。澄清发出的时间距本章第4.2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1项规定的投标截止时间不足15日，且澄清内容可能影响投标文件编制的，将相应延长投标截止时间。</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投标人在收到澄清后，应在投标人须知前附表规定的时间和形式通知招标人，确认已收到该澄清。</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 除非招标人认为确有必要答复，否则，招标人有权拒绝回复投标人在本章第2.2.1项规定的时间后提出的任何澄清要求。</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2.3</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招标文件的修改</w:t>
      </w:r>
    </w:p>
    <w:p>
      <w:pPr>
        <w:pageBreakBefore w:val="0"/>
        <w:widowControl w:val="0"/>
        <w:kinsoku/>
        <w:wordWrap w:val="0"/>
        <w:overflowPunct/>
        <w:topLinePunct w:val="0"/>
        <w:autoSpaceDE/>
        <w:autoSpaceDN/>
        <w:bidi w:val="0"/>
        <w:adjustRightInd/>
        <w:spacing w:line="460" w:lineRule="exact"/>
        <w:ind w:firstLine="480" w:firstLineChars="200"/>
        <w:textAlignment w:val="center"/>
        <w:rPr>
          <w:rFonts w:hint="eastAsia" w:ascii="宋体" w:hAnsi="宋体" w:cs="宋体"/>
          <w:color w:val="auto"/>
          <w:sz w:val="24"/>
          <w:highlight w:val="none"/>
          <w:lang w:eastAsia="zh-CN"/>
        </w:rPr>
      </w:pPr>
      <w:bookmarkStart w:id="120" w:name="_Toc222033835"/>
      <w:bookmarkStart w:id="121" w:name="_Toc222029484"/>
      <w:bookmarkStart w:id="122" w:name="_Toc222030986"/>
      <w:bookmarkStart w:id="123" w:name="_Toc229305344"/>
      <w:bookmarkStart w:id="124" w:name="_Toc221950151"/>
      <w:bookmarkStart w:id="125" w:name="_Toc27427"/>
      <w:bookmarkStart w:id="126" w:name="_Toc168476064"/>
      <w:bookmarkStart w:id="127" w:name="_Toc168475661"/>
      <w:bookmarkStart w:id="128" w:name="_Toc222032653"/>
      <w:bookmarkStart w:id="129" w:name="_Toc144974514"/>
      <w:r>
        <w:rPr>
          <w:rFonts w:hint="eastAsia" w:ascii="宋体" w:hAnsi="宋体" w:eastAsia="宋体" w:cs="宋体"/>
          <w:color w:val="auto"/>
          <w:sz w:val="24"/>
          <w:highlight w:val="none"/>
        </w:rPr>
        <w:t xml:space="preserve">2.3.1 </w:t>
      </w:r>
      <w:r>
        <w:rPr>
          <w:rFonts w:hint="eastAsia" w:ascii="宋体" w:hAnsi="宋体" w:cs="宋体"/>
          <w:color w:val="auto"/>
          <w:sz w:val="24"/>
          <w:highlight w:val="none"/>
          <w:lang w:eastAsia="zh-CN"/>
        </w:rPr>
        <w:t>招标人以投标人须知前附表规定的形式修改招标文件，并通知所有已购买招标文件的投标人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修改招标文件的时间距本章第4.2</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1项规定的投标截止时间不足15日，且修改内容可能影响投标文件编制的，将相应延长投标截止时间。</w:t>
      </w:r>
    </w:p>
    <w:p>
      <w:pPr>
        <w:pageBreakBefore w:val="0"/>
        <w:widowControl w:val="0"/>
        <w:kinsoku/>
        <w:wordWrap w:val="0"/>
        <w:overflowPunct/>
        <w:topLinePunct w:val="0"/>
        <w:autoSpaceDE/>
        <w:autoSpaceDN/>
        <w:bidi w:val="0"/>
        <w:adjustRightInd/>
        <w:spacing w:line="460" w:lineRule="exact"/>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 投标人在收到</w:t>
      </w:r>
      <w:r>
        <w:rPr>
          <w:rFonts w:hint="eastAsia" w:ascii="宋体" w:hAnsi="宋体" w:cs="宋体"/>
          <w:color w:val="auto"/>
          <w:sz w:val="24"/>
          <w:highlight w:val="none"/>
          <w:lang w:eastAsia="zh-CN"/>
        </w:rPr>
        <w:t>修改内容</w:t>
      </w:r>
      <w:r>
        <w:rPr>
          <w:rFonts w:hint="eastAsia" w:ascii="宋体" w:hAnsi="宋体" w:eastAsia="宋体" w:cs="宋体"/>
          <w:color w:val="auto"/>
          <w:sz w:val="24"/>
          <w:highlight w:val="none"/>
        </w:rPr>
        <w:t>后，应在投标人须知前附表规定的时间和形式通知招标人，确认已收到该</w:t>
      </w:r>
      <w:r>
        <w:rPr>
          <w:rFonts w:hint="eastAsia" w:ascii="宋体" w:hAnsi="宋体" w:eastAsia="宋体" w:cs="宋体"/>
          <w:color w:val="auto"/>
          <w:sz w:val="24"/>
          <w:highlight w:val="none"/>
          <w:lang w:eastAsia="zh-CN"/>
        </w:rPr>
        <w:t>修改</w:t>
      </w:r>
      <w:r>
        <w:rPr>
          <w:rFonts w:hint="eastAsia" w:ascii="宋体" w:hAnsi="宋体" w:eastAsia="宋体" w:cs="宋体"/>
          <w:color w:val="auto"/>
          <w:sz w:val="24"/>
          <w:highlight w:val="none"/>
        </w:rPr>
        <w:t>。</w:t>
      </w:r>
    </w:p>
    <w:p>
      <w:pPr>
        <w:pageBreakBefore w:val="0"/>
        <w:widowControl w:val="0"/>
        <w:kinsoku/>
        <w:wordWrap w:val="0"/>
        <w:overflowPunct/>
        <w:topLinePunct w:val="0"/>
        <w:autoSpaceDE/>
        <w:autoSpaceDN/>
        <w:bidi w:val="0"/>
        <w:adjustRightInd/>
        <w:spacing w:line="460" w:lineRule="exact"/>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招标文件的异议</w:t>
      </w:r>
    </w:p>
    <w:p>
      <w:pPr>
        <w:pageBreakBefore w:val="0"/>
        <w:widowControl w:val="0"/>
        <w:kinsoku/>
        <w:wordWrap w:val="0"/>
        <w:overflowPunct/>
        <w:topLinePunct w:val="0"/>
        <w:autoSpaceDE/>
        <w:autoSpaceDN/>
        <w:bidi w:val="0"/>
        <w:adjustRightInd/>
        <w:spacing w:line="460" w:lineRule="exact"/>
        <w:ind w:firstLine="480" w:firstLineChars="200"/>
        <w:textAlignment w:val="center"/>
        <w:rPr>
          <w:rFonts w:hint="eastAsia"/>
          <w:highlight w:val="none"/>
        </w:rPr>
      </w:pPr>
      <w:r>
        <w:rPr>
          <w:rFonts w:hint="eastAsia" w:ascii="宋体" w:hAnsi="宋体" w:eastAsia="宋体" w:cs="宋体"/>
          <w:color w:val="auto"/>
          <w:sz w:val="24"/>
          <w:highlight w:val="none"/>
        </w:rPr>
        <w:t>投标人或其他利害关系人对招标文件有异议的，应在投标截止时间10日前以书面形式提出。招标人将在收到异议之日起3日内作出答复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作出答复前，将暂停招标投标活动。</w:t>
      </w:r>
    </w:p>
    <w:p>
      <w:pPr>
        <w:pStyle w:val="4"/>
        <w:pageBreakBefore w:val="0"/>
        <w:widowControl w:val="0"/>
        <w:kinsoku/>
        <w:wordWrap w:val="0"/>
        <w:overflowPunct/>
        <w:topLinePunct w:val="0"/>
        <w:autoSpaceDE/>
        <w:autoSpaceDN/>
        <w:bidi w:val="0"/>
        <w:adjustRightInd/>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投标文件</w:t>
      </w:r>
      <w:bookmarkEnd w:id="120"/>
      <w:bookmarkEnd w:id="121"/>
      <w:bookmarkEnd w:id="122"/>
      <w:bookmarkEnd w:id="123"/>
      <w:bookmarkEnd w:id="124"/>
      <w:bookmarkEnd w:id="125"/>
      <w:bookmarkEnd w:id="126"/>
      <w:bookmarkEnd w:id="127"/>
      <w:bookmarkEnd w:id="128"/>
      <w:bookmarkEnd w:id="129"/>
    </w:p>
    <w:p>
      <w:pPr>
        <w:pageBreakBefore w:val="0"/>
        <w:widowControl w:val="0"/>
        <w:kinsoku/>
        <w:wordWrap w:val="0"/>
        <w:overflowPunct/>
        <w:topLinePunct w:val="0"/>
        <w:autoSpaceDE/>
        <w:autoSpaceDN/>
        <w:bidi w:val="0"/>
        <w:adjustRightInd/>
        <w:spacing w:line="460" w:lineRule="exact"/>
        <w:outlineLvl w:val="2"/>
        <w:rPr>
          <w:rFonts w:hint="eastAsia" w:ascii="宋体" w:hAnsi="宋体" w:eastAsia="宋体" w:cs="宋体"/>
          <w:color w:val="000000"/>
          <w:sz w:val="24"/>
          <w:szCs w:val="24"/>
          <w:highlight w:val="none"/>
        </w:rPr>
      </w:pPr>
      <w:bookmarkStart w:id="130" w:name="_Toc221950165"/>
      <w:r>
        <w:rPr>
          <w:rFonts w:hint="eastAsia" w:ascii="宋体" w:hAnsi="宋体" w:eastAsia="宋体" w:cs="宋体"/>
          <w:b/>
          <w:color w:val="000000"/>
          <w:sz w:val="24"/>
          <w:szCs w:val="24"/>
          <w:highlight w:val="none"/>
        </w:rPr>
        <w:t>3.</w:t>
      </w:r>
      <w:r>
        <w:rPr>
          <w:rFonts w:hint="eastAsia" w:ascii="宋体" w:hAnsi="宋体" w:cs="宋体"/>
          <w:b/>
          <w:color w:val="000000"/>
          <w:sz w:val="24"/>
          <w:szCs w:val="24"/>
          <w:highlight w:val="none"/>
          <w:lang w:val="en-US" w:eastAsia="zh-CN"/>
        </w:rPr>
        <w:t>1</w:t>
      </w:r>
      <w:r>
        <w:rPr>
          <w:rFonts w:hint="eastAsia" w:ascii="宋体" w:hAnsi="宋体" w:eastAsia="宋体" w:cs="宋体"/>
          <w:b/>
          <w:color w:val="000000"/>
          <w:sz w:val="24"/>
          <w:szCs w:val="24"/>
          <w:highlight w:val="none"/>
        </w:rPr>
        <w:t xml:space="preserve"> </w:t>
      </w:r>
      <w:r>
        <w:rPr>
          <w:rFonts w:hint="eastAsia" w:ascii="宋体" w:hAnsi="宋体" w:eastAsia="宋体" w:cs="宋体"/>
          <w:b/>
          <w:bCs/>
          <w:sz w:val="24"/>
          <w:szCs w:val="24"/>
          <w:highlight w:val="none"/>
        </w:rPr>
        <w:t>投标文件的组成</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3.1.1 投标文件应包括下列内容：</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lang w:eastAsia="zh-CN"/>
        </w:rPr>
      </w:pPr>
      <w:bookmarkStart w:id="131" w:name="_Toc265657440"/>
      <w:bookmarkStart w:id="132" w:name="_Toc307417390"/>
      <w:bookmarkStart w:id="133" w:name="_Toc267472813"/>
      <w:bookmarkStart w:id="134" w:name="_Toc307416093"/>
      <w:bookmarkStart w:id="135" w:name="_Toc285028712"/>
      <w:bookmarkStart w:id="136" w:name="_Toc307485157"/>
      <w:bookmarkStart w:id="137" w:name="_Toc380069047"/>
      <w:bookmarkStart w:id="138" w:name="_Toc307415481"/>
      <w:r>
        <w:rPr>
          <w:rFonts w:hint="eastAsia" w:asciiTheme="minorEastAsia" w:hAnsiTheme="minorEastAsia" w:eastAsiaTheme="minorEastAsia" w:cstheme="minorEastAsia"/>
          <w:sz w:val="24"/>
          <w:szCs w:val="24"/>
          <w:highlight w:val="none"/>
          <w:lang w:eastAsia="zh-CN"/>
        </w:rPr>
        <w:t>第一个信封（商务及技术文件）：</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（1）投标函及投标函附录；</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授权委托书或</w:t>
      </w:r>
      <w:r>
        <w:rPr>
          <w:rFonts w:hint="eastAsia" w:asciiTheme="minorEastAsia" w:hAnsiTheme="minorEastAsia" w:eastAsiaTheme="minorEastAsia" w:cstheme="minorEastAsia"/>
          <w:sz w:val="24"/>
          <w:szCs w:val="24"/>
          <w:highlight w:val="none"/>
        </w:rPr>
        <w:t>法定代表人身份证明</w:t>
      </w:r>
      <w:r>
        <w:rPr>
          <w:rFonts w:hint="eastAsia" w:asciiTheme="minorEastAsia" w:hAnsiTheme="minorEastAsia" w:eastAsiaTheme="minorEastAsia" w:cstheme="minorEastAsia"/>
          <w:sz w:val="24"/>
          <w:szCs w:val="24"/>
          <w:highlight w:val="none"/>
          <w:lang w:eastAsia="zh-CN"/>
        </w:rPr>
        <w:t>；</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联合体协议书</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投标保证金；</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施工组织设计</w:t>
      </w:r>
      <w:r>
        <w:rPr>
          <w:rFonts w:hint="eastAsia" w:asciiTheme="minorEastAsia" w:hAnsiTheme="minorEastAsia" w:eastAsiaTheme="minorEastAsia" w:cstheme="minorEastAsia"/>
          <w:sz w:val="24"/>
          <w:szCs w:val="24"/>
          <w:highlight w:val="none"/>
        </w:rPr>
        <w:t>；</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项目管理机构</w:t>
      </w:r>
      <w:r>
        <w:rPr>
          <w:rFonts w:hint="eastAsia" w:asciiTheme="minorEastAsia" w:hAnsiTheme="minorEastAsia" w:eastAsiaTheme="minorEastAsia" w:cstheme="minorEastAsia"/>
          <w:sz w:val="24"/>
          <w:szCs w:val="24"/>
          <w:highlight w:val="none"/>
        </w:rPr>
        <w:t>；</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拟分包项目情况表；</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资格审查资料；</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投标人须知前附表规定的其他资料。</w:t>
      </w:r>
    </w:p>
    <w:p>
      <w:pPr>
        <w:pageBreakBefore w:val="0"/>
        <w:widowControl w:val="0"/>
        <w:kinsoku/>
        <w:overflowPunct/>
        <w:topLinePunct w:val="0"/>
        <w:autoSpaceDE/>
        <w:autoSpaceDN/>
        <w:bidi w:val="0"/>
        <w:adjustRightInd/>
        <w:spacing w:line="46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第二个信封（报价文件）：</w:t>
      </w:r>
      <w:r>
        <w:rPr>
          <w:rFonts w:hint="eastAsia" w:asciiTheme="minorEastAsia" w:hAnsiTheme="minorEastAsia" w:eastAsiaTheme="minorEastAsia" w:cstheme="minorEastAsia"/>
          <w:sz w:val="24"/>
          <w:szCs w:val="24"/>
          <w:highlight w:val="none"/>
          <w:lang w:val="en-US" w:eastAsia="zh-CN"/>
        </w:rPr>
        <w:t xml:space="preserve">    </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）调价函及调价后的工程量清单（如有）；</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）投标函；</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）已标价工程量清单；</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）合同用款估算表。</w:t>
      </w:r>
    </w:p>
    <w:p>
      <w:pPr>
        <w:pageBreakBefore w:val="0"/>
        <w:widowControl w:val="0"/>
        <w:kinsoku/>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投标人在评标过程中作出的符合法律法规和招标文件规定的澄清确认，构成投标文件的组成部分。</w:t>
      </w:r>
    </w:p>
    <w:p>
      <w:pPr>
        <w:pageBreakBefore w:val="0"/>
        <w:widowControl w:val="0"/>
        <w:kinsoku/>
        <w:overflowPunct/>
        <w:topLinePunct w:val="0"/>
        <w:autoSpaceDE/>
        <w:autoSpaceDN/>
        <w:bidi w:val="0"/>
        <w:adjustRightInd/>
        <w:spacing w:line="4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3.1.2</w:t>
      </w:r>
      <w:r>
        <w:rPr>
          <w:rFonts w:hint="eastAsia" w:asciiTheme="minorEastAsia" w:hAnsiTheme="minorEastAsia" w:eastAsiaTheme="minorEastAsia" w:cstheme="minorEastAsia"/>
          <w:sz w:val="24"/>
          <w:szCs w:val="24"/>
          <w:highlight w:val="none"/>
          <w:lang w:val="en-US" w:eastAsia="zh-CN"/>
        </w:rPr>
        <w:t xml:space="preserve"> </w:t>
      </w:r>
      <w:r>
        <w:rPr>
          <w:rFonts w:hint="eastAsia"/>
          <w:sz w:val="24"/>
          <w:szCs w:val="24"/>
          <w:highlight w:val="none"/>
        </w:rPr>
        <w:t>投标人须知前附表规定不接受联合体投标的，或投标人没有组成联合体的，投标文件不包括本章</w:t>
      </w:r>
      <w:r>
        <w:rPr>
          <w:rFonts w:hint="eastAsia" w:asciiTheme="minorEastAsia" w:hAnsiTheme="minorEastAsia" w:eastAsiaTheme="minorEastAsia" w:cstheme="minorEastAsia"/>
          <w:sz w:val="24"/>
          <w:szCs w:val="24"/>
          <w:highlight w:val="none"/>
        </w:rPr>
        <w:t>第3.1.1（3）</w:t>
      </w:r>
      <w:r>
        <w:rPr>
          <w:rFonts w:hint="eastAsia"/>
          <w:sz w:val="24"/>
          <w:szCs w:val="24"/>
          <w:highlight w:val="none"/>
        </w:rPr>
        <w:t>目所指的联合体协议书。</w:t>
      </w:r>
    </w:p>
    <w:p>
      <w:pPr>
        <w:pageBreakBefore w:val="0"/>
        <w:widowControl w:val="0"/>
        <w:kinsoku/>
        <w:overflowPunct/>
        <w:topLinePunct w:val="0"/>
        <w:autoSpaceDE/>
        <w:autoSpaceDN/>
        <w:bidi w:val="0"/>
        <w:adjustRightInd/>
        <w:spacing w:line="46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3.1.3 投标人须知前附表未要求提交投标保证金的，投标文件不包括本章3.1.1项（4）目所指的投标保证金。</w:t>
      </w:r>
    </w:p>
    <w:p>
      <w:pPr>
        <w:pageBreakBefore w:val="0"/>
        <w:widowControl w:val="0"/>
        <w:kinsoku/>
        <w:wordWrap w:val="0"/>
        <w:overflowPunct/>
        <w:topLinePunct w:val="0"/>
        <w:autoSpaceDE/>
        <w:autoSpaceDN/>
        <w:bidi w:val="0"/>
        <w:adjustRightInd/>
        <w:spacing w:line="460" w:lineRule="exact"/>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3.2 投标报价</w:t>
      </w:r>
      <w:bookmarkEnd w:id="131"/>
      <w:bookmarkEnd w:id="132"/>
      <w:bookmarkEnd w:id="133"/>
      <w:bookmarkEnd w:id="134"/>
      <w:bookmarkEnd w:id="135"/>
      <w:bookmarkEnd w:id="136"/>
      <w:bookmarkEnd w:id="137"/>
      <w:bookmarkEnd w:id="138"/>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bookmarkStart w:id="139" w:name="3.2.1.1投标人按照招标文件要求填报投标报价，并充分了解该项目的总体情况以及"/>
      <w:bookmarkEnd w:id="139"/>
      <w:bookmarkStart w:id="140" w:name="_Toc265657441"/>
      <w:bookmarkStart w:id="141" w:name="_Toc267472814"/>
      <w:bookmarkStart w:id="142" w:name="_Toc307416094"/>
      <w:bookmarkStart w:id="143" w:name="_Toc307417391"/>
      <w:bookmarkStart w:id="144" w:name="_Toc307485158"/>
      <w:bookmarkStart w:id="145" w:name="_Toc307415482"/>
      <w:bookmarkStart w:id="146" w:name="_Toc380069048"/>
      <w:bookmarkStart w:id="147" w:name="_Toc285028713"/>
      <w:r>
        <w:rPr>
          <w:rFonts w:hint="eastAsia" w:asciiTheme="minorEastAsia" w:hAnsiTheme="minorEastAsia" w:eastAsiaTheme="minorEastAsia" w:cstheme="minorEastAsia"/>
          <w:sz w:val="24"/>
          <w:szCs w:val="24"/>
          <w:highlight w:val="none"/>
          <w:lang w:val="en-US"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工程量清单的填写分下列两种方式，投标人应按投标人须知前附表规定的方式填写工程量清单。</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本项目招标采用工程量固化清单，招标人在出售招标文件的同时向投标人提供工程量固化清单电子文件（光盘或U盘），或将工程量固化清单电子文件上传至投标人须知前附表载明的网站供投标人自行下载。投标人填写工程量清单中各子目的单价及总额价，即可完成投标工程量清单的编制，确定投标报价，并将投标工程量清单编入投标文件。投标人未在工程量清单中填入单价或总额价的工程子目，将被认为其已包含在工程量清单其他子目的单价和总额价中，招标人将不予支付。</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投标人必须严格遵循工程量固化清单电子文件中的数据、格式及运算定义，严禁投标人修改工程量固化清单电子文件中的数据、格式及运算定义。</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投标人根据招标人提供的工程量固化清单电子文件填报完成的投标工程量清单中的投标报价和投标函大写金额报价应一致，如果报价金额出现差异，其投标将被否决。</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3.2.2 投标人应充分了解本项目的总体情况以及影响投标报价的其他要素。</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3.2.3 本项目的报价方式见投标人须知前附表。投标人在投标截止时间前修改投标函中的投标总报价，应同时修改投标文件“已标价工程量清单”中的相应报价。此修改须符合本章第4.3款的有关要求。</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3.2.4 投标人如果发现工程量清单中的数量与图纸中数量不一致时,应立即通知招标人核查，除非招标人以书面方式予以更正，否则，应以工程量清单中列出的数量为准。</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3.2.5 投标人应根据《公路水运工程安全生产监督管理办法》，在投标总价中计入安全生产费用，安全生产费用应符合《公路工程标准施工招标文件》（2018版）的“公路工程专用合同条款”第9.2.5项的规定。工程量清单第100章内列有上述安全生产费的支付子目，由投标人按招标文件的规定填写总额价。</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3.2.6 除投标人须知前附表另有规定外，招标人不接受调价函。若招标人接受调价函，则应在招标文件中给出调价函的格式。投标人若有调价函则应遵循如下规定：</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（1）调价函必须采用招标文件规定的格式；调价函应说明调价后的最终报价，并以最终报价为准，而且投标人只能有一次调价的机会。</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（2）工程量清单中招标人指定的报价不允许调价。</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（3）调价函必须附有调价后的工程量清单；调价函必须装在投标文件正本首页，与投标文件一起提交。</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（4）若招标人接受调价函，投标人调价后的工程量清单和有效调价函的大写金额报价应保持一致，如果报价金额出现差异，则以有效调价函的大写金额报价为准。</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3.2.7 在合同实施期间，投标人填写的单价、合价和总额价是否由于物价波动进行价格调整按照《公路工程标准施工招标文件》（2018版）的“公路工程专用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3.2.8 招标人设有最高投标限价的，投标人的投标报价不得超过最高投标限价，最高投标限价在投标人须知前附表中载明。</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lang w:val="en-US" w:eastAsia="zh-CN"/>
        </w:rPr>
      </w:pPr>
      <w:r>
        <w:rPr>
          <w:rFonts w:hint="eastAsia" w:asciiTheme="minorEastAsia" w:hAnsiTheme="minorEastAsia" w:eastAsiaTheme="minorEastAsia" w:cstheme="minorEastAsia"/>
          <w:sz w:val="24"/>
          <w:szCs w:val="24"/>
          <w:highlight w:val="none"/>
          <w:lang w:val="en-US" w:eastAsia="zh-CN"/>
        </w:rPr>
        <w:t>3.2.9 投标报价的其他要求见投标人须知前附表。</w:t>
      </w:r>
    </w:p>
    <w:p>
      <w:pPr>
        <w:pageBreakBefore w:val="0"/>
        <w:widowControl w:val="0"/>
        <w:kinsoku/>
        <w:wordWrap w:val="0"/>
        <w:overflowPunct/>
        <w:topLinePunct w:val="0"/>
        <w:autoSpaceDE/>
        <w:autoSpaceDN/>
        <w:bidi w:val="0"/>
        <w:adjustRightInd/>
        <w:spacing w:line="460" w:lineRule="exact"/>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3.3 投标有效期</w:t>
      </w:r>
      <w:bookmarkEnd w:id="140"/>
      <w:bookmarkEnd w:id="141"/>
      <w:bookmarkEnd w:id="142"/>
      <w:bookmarkEnd w:id="143"/>
      <w:bookmarkEnd w:id="144"/>
      <w:bookmarkEnd w:id="145"/>
      <w:bookmarkEnd w:id="146"/>
      <w:bookmarkEnd w:id="147"/>
    </w:p>
    <w:p>
      <w:pPr>
        <w:pageBreakBefore w:val="0"/>
        <w:widowControl w:val="0"/>
        <w:kinsoku/>
        <w:wordWrap w:val="0"/>
        <w:overflowPunct/>
        <w:topLinePunct w:val="0"/>
        <w:autoSpaceDE/>
        <w:autoSpaceDN/>
        <w:bidi w:val="0"/>
        <w:adjustRightInd/>
        <w:spacing w:line="46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3.3.1 </w:t>
      </w:r>
      <w:r>
        <w:rPr>
          <w:rFonts w:hint="eastAsia" w:ascii="宋体" w:hAnsi="宋体" w:cs="宋体"/>
          <w:color w:val="000000"/>
          <w:sz w:val="24"/>
          <w:szCs w:val="24"/>
          <w:highlight w:val="none"/>
          <w:lang w:eastAsia="zh-CN"/>
        </w:rPr>
        <w:t>除投标人须知前附表另有规定外，投标有效期为</w:t>
      </w:r>
      <w:r>
        <w:rPr>
          <w:rFonts w:hint="eastAsia" w:ascii="宋体" w:hAnsi="宋体" w:cs="宋体"/>
          <w:color w:val="000000"/>
          <w:sz w:val="24"/>
          <w:szCs w:val="24"/>
          <w:highlight w:val="none"/>
          <w:lang w:val="en-US" w:eastAsia="zh-CN"/>
        </w:rPr>
        <w:t>90日。</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宋体" w:hAnsi="宋体" w:cs="宋体"/>
          <w:color w:val="000000"/>
          <w:sz w:val="24"/>
          <w:szCs w:val="24"/>
          <w:highlight w:val="none"/>
          <w:lang w:val="en-US" w:eastAsia="zh-CN"/>
        </w:rPr>
      </w:pPr>
      <w:bookmarkStart w:id="148" w:name="_Toc285028714"/>
      <w:bookmarkStart w:id="149" w:name="_Toc307415483"/>
      <w:bookmarkStart w:id="150" w:name="_Toc267472815"/>
      <w:bookmarkStart w:id="151" w:name="_Toc307416095"/>
      <w:bookmarkStart w:id="152" w:name="_Toc380069049"/>
      <w:bookmarkStart w:id="153" w:name="_Toc307485159"/>
      <w:bookmarkStart w:id="154" w:name="_Toc307417392"/>
      <w:bookmarkStart w:id="155" w:name="_Toc265657442"/>
      <w:r>
        <w:rPr>
          <w:rFonts w:hint="eastAsia" w:ascii="宋体" w:hAnsi="宋体" w:cs="宋体"/>
          <w:color w:val="000000"/>
          <w:sz w:val="24"/>
          <w:szCs w:val="24"/>
          <w:highlight w:val="none"/>
          <w:lang w:val="en-US" w:eastAsia="zh-CN"/>
        </w:rPr>
        <w:t>3.3.2在投标有效期内，投标人撤销投标文件的，应承担招标文件和法律规定的责任。</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ageBreakBefore w:val="0"/>
        <w:widowControl w:val="0"/>
        <w:kinsoku/>
        <w:wordWrap w:val="0"/>
        <w:overflowPunct/>
        <w:topLinePunct w:val="0"/>
        <w:autoSpaceDE/>
        <w:autoSpaceDN/>
        <w:bidi w:val="0"/>
        <w:adjustRightInd/>
        <w:spacing w:line="460" w:lineRule="exact"/>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3.4 投标保证金</w:t>
      </w:r>
      <w:bookmarkEnd w:id="148"/>
      <w:bookmarkEnd w:id="149"/>
      <w:bookmarkEnd w:id="150"/>
      <w:bookmarkEnd w:id="151"/>
      <w:bookmarkEnd w:id="152"/>
      <w:bookmarkEnd w:id="153"/>
      <w:bookmarkEnd w:id="154"/>
      <w:bookmarkEnd w:id="155"/>
    </w:p>
    <w:bookmarkEnd w:id="130"/>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3.4.1</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投标人在递交投标文件的同时,应按投标人须知前附表规定的金额和第九章“投标文件格式”规定的投标保证金格式递交投标保证金，并作为其投标文件的组成部分。投标保证金应采用现金、支票、银行保函或招标人在投标人须知前附表规定的其他形式。</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若采用现金或支票，投标人应在递交投标文件截止时间之前，将投标保证金由投标入的基本账户转入招标人指定账户，否则视为投标保证金无效。招标人指定的开户银行及账号见投标人须知前附表。</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）若采用银行保函，则应由符合投标人须知前附表规定级别的银行开具，并采用招标文件提供的格式。银行保函复印件附在投标文件内，原件应在递交投标文件截止时间之前递交给招标人。</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无论采取何种形式的投标保证金，投标保证金有效期均应与投标有效期一致。招标人如果按本章第3.3.3项的规定延长了投标有效期，则投标保证金的有效期也相应延长。</w:t>
      </w:r>
    </w:p>
    <w:p>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3.4.2</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投标人不按本章第3.4.1项要求提交投标保证金的，评标委员会将否决其投标。</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3.4.3</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利息计算原则见投标人须知前附表。</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3.4.4</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有下列情形之一的，投标保证金将不予退还：</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）投标人在投标有效期内撤销投标文件；</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）中标人在收到中标通知书后，无正当理由不与招标人订立合同，在签订合同时向招标入提出附加条件，或不按照招标文件要求提交履约保证金；</w:t>
      </w:r>
    </w:p>
    <w:p>
      <w:pPr>
        <w:pageBreakBefore w:val="0"/>
        <w:widowControl w:val="0"/>
        <w:kinsoku/>
        <w:wordWrap w:val="0"/>
        <w:overflowPunct/>
        <w:topLinePunct w:val="0"/>
        <w:autoSpaceDE/>
        <w:autoSpaceDN/>
        <w:bidi w:val="0"/>
        <w:adjustRightInd/>
        <w:spacing w:line="460" w:lineRule="exact"/>
        <w:ind w:firstLine="480" w:firstLineChars="200"/>
        <w:rPr>
          <w:rFonts w:hint="eastAsia"/>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）发生投标人须知前附表规定的其他可以不予退还投标保证金的情形。</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3.5</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资格审查资料</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bookmarkStart w:id="156" w:name="_Toc221950172"/>
      <w:r>
        <w:rPr>
          <w:rFonts w:hint="eastAsia" w:ascii="宋体" w:hAnsi="宋体" w:cs="宋体"/>
          <w:color w:val="000000"/>
          <w:sz w:val="24"/>
          <w:szCs w:val="24"/>
          <w:highlight w:val="none"/>
          <w:lang w:eastAsia="zh-CN"/>
        </w:rPr>
        <w:t>除投标人须知前附表另有规定外，投标入应按下列规定提供资格审查资料，以证明其满足本章第1.4款规定的资质、财务、业绩、信誉等要求。</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3.5.1“投标人基本情况表”应附</w:t>
      </w:r>
      <w:r>
        <w:rPr>
          <w:rFonts w:hint="eastAsia" w:ascii="宋体" w:hAnsi="宋体" w:cs="宋体"/>
          <w:color w:val="000000"/>
          <w:sz w:val="24"/>
          <w:szCs w:val="24"/>
          <w:highlight w:val="none"/>
          <w:lang w:val="en-US" w:eastAsia="zh-CN"/>
        </w:rPr>
        <w:t>投标人营业执照、国家企业信用信息公示系统2022年度报告网页截图、资质证书、进入交通运输部“全国公路建设市场信用信息管理系统”公路工程施工资质企业名录网页截图、安全生产许可证、基本账户开户许可证或由其开户银行出具的基本存款账户信息。</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3.5.2</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“财务状况表”应附</w:t>
      </w:r>
      <w:r>
        <w:rPr>
          <w:rFonts w:hint="eastAsia" w:ascii="宋体" w:hAnsi="宋体" w:cs="宋体"/>
          <w:color w:val="000000"/>
          <w:sz w:val="24"/>
          <w:szCs w:val="24"/>
          <w:highlight w:val="none"/>
          <w:lang w:val="en-US" w:eastAsia="zh-CN"/>
        </w:rPr>
        <w:t>2020至2022年</w:t>
      </w:r>
      <w:r>
        <w:rPr>
          <w:rFonts w:hint="eastAsia" w:ascii="宋体" w:hAnsi="宋体" w:cs="宋体"/>
          <w:color w:val="000000"/>
          <w:sz w:val="24"/>
          <w:szCs w:val="24"/>
          <w:highlight w:val="none"/>
          <w:lang w:eastAsia="zh-CN"/>
        </w:rPr>
        <w:t>经会计师事务所或财务审计机构审计的财务报告，包括审计报告、资产负债表、损益表（利润表）、现金流量表、会计报表附注</w:t>
      </w:r>
      <w:r>
        <w:rPr>
          <w:rFonts w:hint="eastAsia" w:ascii="宋体" w:hAnsi="宋体" w:cs="宋体"/>
          <w:color w:val="000000"/>
          <w:sz w:val="24"/>
          <w:szCs w:val="24"/>
          <w:highlight w:val="none"/>
          <w:lang w:val="en-US" w:eastAsia="zh-CN"/>
        </w:rPr>
        <w:t>和审计机构相关资质证件</w:t>
      </w:r>
      <w:r>
        <w:rPr>
          <w:rFonts w:hint="eastAsia" w:ascii="宋体" w:hAnsi="宋体" w:cs="宋体"/>
          <w:color w:val="000000"/>
          <w:sz w:val="24"/>
          <w:szCs w:val="24"/>
          <w:highlight w:val="none"/>
          <w:lang w:eastAsia="zh-CN"/>
        </w:rPr>
        <w:t>。新成立的企业以成立时间为准，提供相应年度的财务会计报表。</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 xml:space="preserve">3.5.3 </w:t>
      </w:r>
      <w:r>
        <w:rPr>
          <w:rFonts w:hint="eastAsia" w:ascii="宋体" w:hAnsi="宋体" w:cs="宋体"/>
          <w:color w:val="000000"/>
          <w:sz w:val="24"/>
          <w:szCs w:val="24"/>
          <w:highlight w:val="none"/>
          <w:lang w:eastAsia="zh-CN"/>
        </w:rPr>
        <w:t>“近年完成的类似项目”具体时间要求见投标人须知前附表。</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eastAsia="zh-CN"/>
        </w:rPr>
        <w:t>“近年完成的类似项目情况表”</w:t>
      </w:r>
      <w:r>
        <w:rPr>
          <w:rFonts w:hint="eastAsia" w:ascii="宋体" w:hAnsi="宋体" w:cs="宋体"/>
          <w:color w:val="000000"/>
          <w:sz w:val="24"/>
          <w:szCs w:val="24"/>
          <w:highlight w:val="none"/>
          <w:lang w:val="en-US" w:eastAsia="zh-CN"/>
        </w:rPr>
        <w:t>应附“全国公路建设市场信用信息管理系统”企业业绩信息网页截图或“陕西省公路建设市场信用信息管理系统”企业业绩信息网页截图或中标通知书或施工合同。</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如投标人提供的业绩证明材料无法证实投标人满足招标文件规定的资格审查条件（业绩最低要求），则该项目业绩不予认定。</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3.5.</w:t>
      </w:r>
      <w:r>
        <w:rPr>
          <w:rFonts w:hint="eastAsia" w:ascii="宋体" w:hAnsi="宋体" w:cs="宋体"/>
          <w:color w:val="000000"/>
          <w:sz w:val="24"/>
          <w:szCs w:val="24"/>
          <w:highlight w:val="none"/>
          <w:lang w:val="en-US" w:eastAsia="zh-CN"/>
        </w:rPr>
        <w:t xml:space="preserve">4 </w:t>
      </w:r>
      <w:r>
        <w:rPr>
          <w:rFonts w:hint="eastAsia" w:ascii="宋体" w:hAnsi="宋体" w:cs="宋体"/>
          <w:color w:val="000000"/>
          <w:sz w:val="24"/>
          <w:szCs w:val="24"/>
          <w:highlight w:val="none"/>
          <w:lang w:eastAsia="zh-CN"/>
        </w:rPr>
        <w:t>“投标人的信誉情况表”</w:t>
      </w:r>
      <w:r>
        <w:rPr>
          <w:rFonts w:hint="eastAsia" w:ascii="宋体" w:hAnsi="宋体" w:cs="宋体"/>
          <w:color w:val="000000"/>
          <w:sz w:val="24"/>
          <w:szCs w:val="24"/>
          <w:highlight w:val="none"/>
          <w:lang w:val="en-US" w:eastAsia="zh-CN"/>
        </w:rPr>
        <w:t>应附投标人公路施工企业信用评价结果证明材料、在“信用中国”网站中未被列入失信被执行人名单、在“国家企业信用信息公示系统”中未被列入严重违法失信企业名单的查询截图，投标人、法定代表人、拟派项目经理在“中国裁判文书网”无行贿犯罪行为的查询截图。</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3.5.5</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“拟委任的项目经理和项目总工资历表"</w:t>
      </w:r>
      <w:r>
        <w:rPr>
          <w:rFonts w:hint="eastAsia" w:ascii="宋体" w:hAnsi="宋体" w:cs="宋体"/>
          <w:color w:val="000000"/>
          <w:sz w:val="24"/>
          <w:szCs w:val="24"/>
          <w:highlight w:val="none"/>
          <w:lang w:val="en-US" w:eastAsia="zh-CN"/>
        </w:rPr>
        <w:t>应附项目经理身份证、建造师资格证及注册证、交通运输主管部门颁发的安全生产考核B证、本单位近1年社会保障资金缴纳证明材料、近5年至少担任过1项二级及以上主要公路工程施工的项目经理证明材料（“全国公路建设市场信用信息管理系统”</w:t>
      </w:r>
      <w:r>
        <w:rPr>
          <w:rFonts w:hint="eastAsia" w:ascii="宋体" w:hAnsi="宋体" w:cs="宋体"/>
          <w:color w:val="000000"/>
          <w:sz w:val="24"/>
          <w:szCs w:val="24"/>
          <w:highlight w:val="none"/>
          <w:lang w:val="en-US" w:eastAsia="zh-CN"/>
        </w:rPr>
        <w:fldChar w:fldCharType="begin"/>
      </w:r>
      <w:r>
        <w:rPr>
          <w:rFonts w:hint="eastAsia" w:ascii="宋体" w:hAnsi="宋体" w:cs="宋体"/>
          <w:color w:val="000000"/>
          <w:sz w:val="24"/>
          <w:szCs w:val="24"/>
          <w:highlight w:val="none"/>
          <w:lang w:val="en-US" w:eastAsia="zh-CN"/>
        </w:rPr>
        <w:instrText xml:space="preserve"> HYPERLINK "http://glxy.mot.gov.cn/BM/)中查询到的企业\“业绩信息\”相关项目网页截图复印件，截图应体现公路等级、交工时间、合同价或结算价及主要工程内容等信息。" </w:instrText>
      </w:r>
      <w:r>
        <w:rPr>
          <w:rFonts w:hint="eastAsia" w:ascii="宋体" w:hAnsi="宋体" w:cs="宋体"/>
          <w:color w:val="000000"/>
          <w:sz w:val="24"/>
          <w:szCs w:val="24"/>
          <w:highlight w:val="none"/>
          <w:lang w:val="en-US" w:eastAsia="zh-CN"/>
        </w:rPr>
        <w:fldChar w:fldCharType="separate"/>
      </w:r>
      <w:r>
        <w:rPr>
          <w:rFonts w:hint="eastAsia" w:ascii="宋体" w:hAnsi="宋体" w:cs="宋体"/>
          <w:color w:val="000000"/>
          <w:sz w:val="24"/>
          <w:szCs w:val="24"/>
          <w:highlight w:val="none"/>
          <w:lang w:val="en-US" w:eastAsia="zh-CN"/>
        </w:rPr>
        <w:t>人员业绩信息网页截图或</w:t>
      </w:r>
      <w:r>
        <w:rPr>
          <w:rFonts w:hint="eastAsia" w:ascii="宋体" w:hAnsi="宋体" w:cs="宋体"/>
          <w:color w:val="000000"/>
          <w:sz w:val="24"/>
          <w:szCs w:val="24"/>
          <w:highlight w:val="none"/>
          <w:lang w:val="en-US" w:eastAsia="zh-CN"/>
        </w:rPr>
        <w:fldChar w:fldCharType="end"/>
      </w:r>
      <w:r>
        <w:rPr>
          <w:rFonts w:hint="eastAsia" w:ascii="宋体" w:hAnsi="宋体" w:cs="宋体"/>
          <w:color w:val="000000"/>
          <w:sz w:val="24"/>
          <w:szCs w:val="24"/>
          <w:highlight w:val="none"/>
          <w:lang w:val="en-US" w:eastAsia="zh-CN"/>
        </w:rPr>
        <w:t>“陕西省公路建设市场信用信息管理系统”人员业绩信息网页截图或中标通知书或施工合同，证明材料须体现项目经理姓名）、无在建工程承诺书；项目总工身份证、职称证、交通运输主管部门颁发的安全生产考核B证、本单位近1年社会保障资金缴纳证明、近5年至少担任过1项二级及以上公路工程施工的项目总工（或技术负责人）证明材料（“全国公路建设市场信用信息管理系统”</w:t>
      </w:r>
      <w:r>
        <w:rPr>
          <w:rFonts w:hint="eastAsia" w:ascii="宋体" w:hAnsi="宋体" w:cs="宋体"/>
          <w:color w:val="000000"/>
          <w:sz w:val="24"/>
          <w:szCs w:val="24"/>
          <w:highlight w:val="none"/>
          <w:lang w:val="en-US" w:eastAsia="zh-CN"/>
        </w:rPr>
        <w:fldChar w:fldCharType="begin"/>
      </w:r>
      <w:r>
        <w:rPr>
          <w:rFonts w:hint="eastAsia" w:ascii="宋体" w:hAnsi="宋体" w:cs="宋体"/>
          <w:color w:val="000000"/>
          <w:sz w:val="24"/>
          <w:szCs w:val="24"/>
          <w:highlight w:val="none"/>
          <w:lang w:val="en-US" w:eastAsia="zh-CN"/>
        </w:rPr>
        <w:instrText xml:space="preserve"> HYPERLINK "http://glxy.mot.gov.cn/BM/)中查询到的企业\“业绩信息\”相关项目网页截图复印件，截图应体现公路等级、交工时间、合同价或结算价及主要工程内容等信息。" </w:instrText>
      </w:r>
      <w:r>
        <w:rPr>
          <w:rFonts w:hint="eastAsia" w:ascii="宋体" w:hAnsi="宋体" w:cs="宋体"/>
          <w:color w:val="000000"/>
          <w:sz w:val="24"/>
          <w:szCs w:val="24"/>
          <w:highlight w:val="none"/>
          <w:lang w:val="en-US" w:eastAsia="zh-CN"/>
        </w:rPr>
        <w:fldChar w:fldCharType="separate"/>
      </w:r>
      <w:r>
        <w:rPr>
          <w:rFonts w:hint="eastAsia" w:ascii="宋体" w:hAnsi="宋体" w:cs="宋体"/>
          <w:color w:val="000000"/>
          <w:sz w:val="24"/>
          <w:szCs w:val="24"/>
          <w:highlight w:val="none"/>
          <w:lang w:val="en-US" w:eastAsia="zh-CN"/>
        </w:rPr>
        <w:t>人员业绩信息网页截图或</w:t>
      </w:r>
      <w:r>
        <w:rPr>
          <w:rFonts w:hint="eastAsia" w:ascii="宋体" w:hAnsi="宋体" w:cs="宋体"/>
          <w:color w:val="000000"/>
          <w:sz w:val="24"/>
          <w:szCs w:val="24"/>
          <w:highlight w:val="none"/>
          <w:lang w:val="en-US" w:eastAsia="zh-CN"/>
        </w:rPr>
        <w:fldChar w:fldCharType="end"/>
      </w:r>
      <w:r>
        <w:rPr>
          <w:rFonts w:hint="eastAsia" w:ascii="宋体" w:hAnsi="宋体" w:cs="宋体"/>
          <w:color w:val="000000"/>
          <w:sz w:val="24"/>
          <w:szCs w:val="24"/>
          <w:highlight w:val="none"/>
          <w:lang w:val="en-US" w:eastAsia="zh-CN"/>
        </w:rPr>
        <w:t>“陕西省公路建设市场信用信息管理系统”人员业绩信息网页截图或中标通知书或施工合同，证明材料须体现项目总工或技术负责人姓名）、无在建工程承诺书。</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3.5.6 “拟委任的其他管理和技术人员汇总表”（如有）应填报满足投标人须知前附表附录六规定的其他人员的相关信息。“拟委任的其他管理和技术人员资历表”（如有）中相关人员应附身份证、职称资格证书以及资格审查条件所要求的其他相关证书，相关业绩证明材料，以及投标人所属社保机构出具的社保缴费证明或其他能够证明其参加社保的有效证明材料。（本项目不适用）</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3.5.7 “拟投入本标段的主要施工机械表”（如有）、“拟配备本标段的主要材料试验、测量、质检仪器设备表”（如有）应填报满足投标人须知前附表附录七规定的机械设备和试验检测设备。（本项目不适用）</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3.5.8 投标人须知前附表规定接受联合体投标的，本章第3.5.1项至第3.5.7项规定的表格和资料应包括联合体各方相关情况。</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 5.9 除合同条款约定的特殊情形外，投标人在投标文件中填报的项目经理和项目总工不允许更换。</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3.5.10 投标人应对投标文件中填报的资质、业绩、主要人员资历和目前在岗情况、信用等级等信息的真实性、完整性和准确性负责。</w:t>
      </w:r>
    </w:p>
    <w:p>
      <w:pPr>
        <w:pageBreakBefore w:val="0"/>
        <w:widowControl w:val="0"/>
        <w:kinsoku/>
        <w:wordWrap w:val="0"/>
        <w:overflowPunct/>
        <w:topLinePunct w:val="0"/>
        <w:autoSpaceDE/>
        <w:autoSpaceDN/>
        <w:bidi w:val="0"/>
        <w:adjustRightInd/>
        <w:spacing w:line="460" w:lineRule="exact"/>
        <w:ind w:firstLine="480" w:firstLineChars="200"/>
        <w:rPr>
          <w:rFonts w:hint="eastAsia"/>
          <w:lang w:eastAsia="zh-CN"/>
        </w:rPr>
      </w:pPr>
      <w:r>
        <w:rPr>
          <w:rFonts w:hint="eastAsia" w:ascii="宋体" w:hAnsi="宋体" w:cs="宋体"/>
          <w:color w:val="000000"/>
          <w:sz w:val="24"/>
          <w:szCs w:val="24"/>
          <w:highlight w:val="none"/>
          <w:lang w:val="en-US" w:eastAsia="zh-CN"/>
        </w:rPr>
        <w:t>3.5.11 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3.6</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备选投标方案</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 xml:space="preserve">3.6.1 </w:t>
      </w:r>
      <w:r>
        <w:rPr>
          <w:rFonts w:hint="eastAsia" w:ascii="宋体" w:hAnsi="宋体" w:eastAsia="宋体" w:cs="宋体"/>
          <w:color w:val="000000"/>
          <w:sz w:val="24"/>
          <w:szCs w:val="24"/>
          <w:highlight w:val="none"/>
        </w:rPr>
        <w:t>除投标人须知前附表另有规定外</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投标人不得递交备选投标方案</w:t>
      </w:r>
      <w:bookmarkEnd w:id="156"/>
      <w:r>
        <w:rPr>
          <w:rFonts w:hint="eastAsia" w:ascii="宋体" w:hAnsi="宋体" w:eastAsia="宋体" w:cs="宋体"/>
          <w:color w:val="000000"/>
          <w:sz w:val="24"/>
          <w:szCs w:val="24"/>
          <w:highlight w:val="none"/>
        </w:rPr>
        <w:t>，否则其投标将被否决。</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ageBreakBefore w:val="0"/>
        <w:widowControl w:val="0"/>
        <w:kinsoku/>
        <w:wordWrap w:val="0"/>
        <w:overflowPunct/>
        <w:topLinePunct w:val="0"/>
        <w:autoSpaceDE/>
        <w:autoSpaceDN/>
        <w:bidi w:val="0"/>
        <w:adjustRightInd/>
        <w:spacing w:line="460" w:lineRule="exact"/>
        <w:ind w:firstLine="480" w:firstLineChars="200"/>
        <w:rPr>
          <w:rFonts w:hint="eastAsia"/>
        </w:rPr>
      </w:pPr>
      <w:r>
        <w:rPr>
          <w:rFonts w:hint="eastAsia" w:ascii="宋体" w:hAnsi="宋体" w:cs="宋体"/>
          <w:color w:val="000000"/>
          <w:sz w:val="24"/>
          <w:szCs w:val="24"/>
          <w:highlight w:val="none"/>
          <w:lang w:val="en-US" w:eastAsia="zh-CN"/>
        </w:rPr>
        <w:t>3.6.3 投标人提供两个或两个以上投标报价，或在投标文件中提供一个报价，但同时提供两个或两个以上施工组织设计的，视为提供备选方案。</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3.7</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投标文件的编制</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bookmarkStart w:id="157" w:name="_Toc22580"/>
      <w:r>
        <w:rPr>
          <w:rFonts w:hint="eastAsia" w:ascii="宋体" w:hAnsi="宋体" w:eastAsia="宋体" w:cs="宋体"/>
          <w:color w:val="000000"/>
          <w:sz w:val="24"/>
          <w:szCs w:val="24"/>
          <w:highlight w:val="none"/>
        </w:rPr>
        <w:t>3.7.1</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投标文件应按第九章“投标文件格式”进行编写，如有必要，可以增加附页，作为投标文件的组成部分。其中，投标函附录在满足招标文件实质性要求的基础上，可以提出比招标文件要求更有利于招标人的承诺。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 xml:space="preserve">3.7.2 </w:t>
      </w:r>
      <w:r>
        <w:rPr>
          <w:rFonts w:hint="eastAsia" w:ascii="宋体" w:hAnsi="宋体" w:eastAsia="宋体" w:cs="宋体"/>
          <w:color w:val="000000"/>
          <w:sz w:val="24"/>
          <w:szCs w:val="24"/>
          <w:highlight w:val="none"/>
        </w:rPr>
        <w:t>投标文件应对招标文件有关工期、投标有效期、质量要求、安全目标、技术标准和要求、招标范围等实质性内容作出响应。</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3.7.3 投标文件应按第九章“投标文件格式”要求签字盖章，并在每一页加盖单位章。联合体投标的，由联合体牵头人按上述规定签字盖章。</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3.7.4 电子投标文件编制要求</w:t>
      </w:r>
    </w:p>
    <w:p>
      <w:pPr>
        <w:pageBreakBefore w:val="0"/>
        <w:widowControl w:val="0"/>
        <w:kinsoku/>
        <w:wordWrap w:val="0"/>
        <w:overflowPunct/>
        <w:topLinePunct w:val="0"/>
        <w:autoSpaceDE/>
        <w:autoSpaceDN/>
        <w:bidi w:val="0"/>
        <w:adjustRightInd/>
        <w:spacing w:line="460" w:lineRule="exact"/>
        <w:ind w:firstLine="480" w:firstLineChars="20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default" w:ascii="宋体" w:hAnsi="宋体" w:cs="宋体"/>
          <w:color w:val="000000"/>
          <w:sz w:val="24"/>
          <w:szCs w:val="24"/>
          <w:highlight w:val="none"/>
          <w:lang w:val="en-US" w:eastAsia="zh-CN"/>
        </w:rPr>
        <w:t>投标文件由投标人使用“陕西省公共资源交易平台”规定的投标文件制作工具制作生成。</w:t>
      </w:r>
    </w:p>
    <w:p>
      <w:pPr>
        <w:pageBreakBefore w:val="0"/>
        <w:widowControl w:val="0"/>
        <w:kinsoku/>
        <w:wordWrap w:val="0"/>
        <w:overflowPunct/>
        <w:topLinePunct w:val="0"/>
        <w:autoSpaceDE/>
        <w:autoSpaceDN/>
        <w:bidi w:val="0"/>
        <w:adjustRightInd/>
        <w:spacing w:line="460" w:lineRule="exact"/>
        <w:ind w:firstLine="480" w:firstLineChars="20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default" w:ascii="宋体" w:hAnsi="宋体" w:cs="宋体"/>
          <w:color w:val="000000"/>
          <w:sz w:val="24"/>
          <w:szCs w:val="24"/>
          <w:highlight w:val="none"/>
          <w:lang w:val="en-US" w:eastAsia="zh-CN"/>
        </w:rPr>
        <w:t>投标人在编制投标文件时应建立分级目录，并按照标签提示导入相关内容。</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（3）投标文件制作完成后，投标人应使用CA数字证书对投标文件进行文件加密，形成加密的投标文件。</w:t>
      </w:r>
    </w:p>
    <w:p>
      <w:pPr>
        <w:pStyle w:val="4"/>
        <w:pageBreakBefore w:val="0"/>
        <w:widowControl w:val="0"/>
        <w:kinsoku/>
        <w:wordWrap w:val="0"/>
        <w:overflowPunct/>
        <w:topLinePunct w:val="0"/>
        <w:autoSpaceDE/>
        <w:autoSpaceDN/>
        <w:bidi w:val="0"/>
        <w:adjustRightInd/>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投标</w:t>
      </w:r>
      <w:bookmarkEnd w:id="157"/>
    </w:p>
    <w:p>
      <w:pPr>
        <w:pageBreakBefore w:val="0"/>
        <w:widowControl w:val="0"/>
        <w:kinsoku/>
        <w:wordWrap w:val="0"/>
        <w:overflowPunct/>
        <w:topLinePunct w:val="0"/>
        <w:autoSpaceDE/>
        <w:autoSpaceDN/>
        <w:bidi w:val="0"/>
        <w:adjustRightInd/>
        <w:spacing w:line="460" w:lineRule="exact"/>
        <w:outlineLvl w:val="2"/>
        <w:rPr>
          <w:rFonts w:hint="eastAsia" w:ascii="宋体" w:hAnsi="宋体" w:cs="宋体"/>
          <w:b/>
          <w:color w:val="000000"/>
          <w:sz w:val="24"/>
          <w:szCs w:val="24"/>
          <w:highlight w:val="none"/>
          <w:lang w:val="en-US" w:eastAsia="zh-CN"/>
        </w:rPr>
      </w:pPr>
      <w:r>
        <w:rPr>
          <w:rFonts w:hint="eastAsia" w:ascii="宋体" w:hAnsi="宋体" w:eastAsia="宋体" w:cs="宋体"/>
          <w:b/>
          <w:color w:val="000000"/>
          <w:sz w:val="24"/>
          <w:szCs w:val="24"/>
          <w:highlight w:val="none"/>
        </w:rPr>
        <w:t>4.1</w:t>
      </w:r>
      <w:r>
        <w:rPr>
          <w:rFonts w:hint="eastAsia" w:ascii="宋体" w:hAnsi="宋体" w:cs="宋体"/>
          <w:b/>
          <w:color w:val="000000"/>
          <w:sz w:val="24"/>
          <w:szCs w:val="24"/>
          <w:highlight w:val="none"/>
          <w:lang w:val="en-US" w:eastAsia="zh-CN"/>
        </w:rPr>
        <w:t xml:space="preserve"> </w:t>
      </w:r>
      <w:bookmarkStart w:id="158" w:name="_Toc307415489"/>
      <w:bookmarkStart w:id="159" w:name="_Toc285028720"/>
      <w:bookmarkStart w:id="160" w:name="_Toc307485165"/>
      <w:bookmarkStart w:id="161" w:name="_Toc380069055"/>
      <w:bookmarkStart w:id="162" w:name="_Toc267472821"/>
      <w:bookmarkStart w:id="163" w:name="_Toc265657448"/>
      <w:bookmarkStart w:id="164" w:name="_Toc307417398"/>
      <w:bookmarkStart w:id="165" w:name="_Toc307416101"/>
      <w:r>
        <w:rPr>
          <w:rFonts w:hint="eastAsia" w:ascii="宋体" w:hAnsi="宋体" w:cs="宋体"/>
          <w:b/>
          <w:color w:val="000000"/>
          <w:sz w:val="24"/>
          <w:szCs w:val="24"/>
          <w:highlight w:val="none"/>
          <w:lang w:val="en-US" w:eastAsia="zh-CN"/>
        </w:rPr>
        <w:t>投标文件的加密</w:t>
      </w:r>
    </w:p>
    <w:p>
      <w:pPr>
        <w:pageBreakBefore w:val="0"/>
        <w:widowControl w:val="0"/>
        <w:kinsoku/>
        <w:wordWrap w:val="0"/>
        <w:overflowPunct/>
        <w:topLinePunct w:val="0"/>
        <w:autoSpaceDE/>
        <w:autoSpaceDN/>
        <w:bidi w:val="0"/>
        <w:adjustRightInd/>
        <w:spacing w:line="460" w:lineRule="exact"/>
        <w:ind w:firstLine="480" w:firstLineChars="200"/>
        <w:rPr>
          <w:rFonts w:hint="eastAsia"/>
          <w:lang w:val="en-US" w:eastAsia="zh-CN"/>
        </w:rPr>
      </w:pPr>
      <w:r>
        <w:rPr>
          <w:rFonts w:hint="eastAsia" w:ascii="宋体" w:hAnsi="宋体" w:eastAsia="宋体" w:cs="宋体"/>
          <w:color w:val="000000"/>
          <w:sz w:val="24"/>
          <w:szCs w:val="24"/>
          <w:highlight w:val="none"/>
          <w:lang w:val="en-US" w:eastAsia="zh-CN"/>
        </w:rPr>
        <w:t>投标文件应按照本章第3.7.</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项要求加密，未按要求加密的投标文件，招标人</w:t>
      </w:r>
      <w:r>
        <w:rPr>
          <w:rFonts w:hint="eastAsia" w:ascii="宋体" w:hAnsi="宋体" w:cs="宋体"/>
          <w:color w:val="000000"/>
          <w:sz w:val="24"/>
          <w:szCs w:val="24"/>
          <w:highlight w:val="none"/>
          <w:lang w:val="en-US" w:eastAsia="zh-CN"/>
        </w:rPr>
        <w:t>将予以拒收</w:t>
      </w:r>
      <w:r>
        <w:rPr>
          <w:rFonts w:hint="eastAsia" w:ascii="宋体" w:hAnsi="宋体" w:eastAsia="宋体" w:cs="宋体"/>
          <w:color w:val="000000"/>
          <w:sz w:val="24"/>
          <w:szCs w:val="24"/>
          <w:highlight w:val="none"/>
          <w:lang w:val="en-US" w:eastAsia="zh-CN"/>
        </w:rPr>
        <w:t>。</w:t>
      </w:r>
    </w:p>
    <w:p>
      <w:pPr>
        <w:pageBreakBefore w:val="0"/>
        <w:widowControl w:val="0"/>
        <w:kinsoku/>
        <w:wordWrap w:val="0"/>
        <w:overflowPunct/>
        <w:topLinePunct w:val="0"/>
        <w:autoSpaceDE/>
        <w:autoSpaceDN/>
        <w:bidi w:val="0"/>
        <w:adjustRightInd/>
        <w:spacing w:line="460" w:lineRule="exact"/>
        <w:outlineLvl w:val="2"/>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 xml:space="preserve">4.2 </w:t>
      </w:r>
      <w:r>
        <w:rPr>
          <w:rFonts w:hint="eastAsia" w:ascii="宋体" w:hAnsi="宋体" w:eastAsia="宋体" w:cs="宋体"/>
          <w:b/>
          <w:color w:val="000000"/>
          <w:sz w:val="24"/>
          <w:szCs w:val="24"/>
          <w:highlight w:val="none"/>
        </w:rPr>
        <w:t>投标文件的递交</w:t>
      </w:r>
      <w:bookmarkEnd w:id="158"/>
      <w:bookmarkEnd w:id="159"/>
      <w:bookmarkEnd w:id="160"/>
      <w:bookmarkEnd w:id="161"/>
      <w:bookmarkEnd w:id="162"/>
      <w:bookmarkEnd w:id="163"/>
      <w:bookmarkEnd w:id="164"/>
      <w:bookmarkEnd w:id="165"/>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.1 投标人应在第一章“招标公告”或“投标邀请书”规定的投标截止时间前递交投标文件。</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投标人递交投标文件的地点</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见第</w:t>
      </w:r>
      <w:r>
        <w:rPr>
          <w:rFonts w:hint="eastAsia" w:ascii="宋体" w:hAnsi="宋体" w:cs="宋体"/>
          <w:color w:val="000000"/>
          <w:sz w:val="24"/>
          <w:szCs w:val="24"/>
          <w:highlight w:val="none"/>
          <w:lang w:eastAsia="zh-CN"/>
        </w:rPr>
        <w:t>一</w:t>
      </w:r>
      <w:r>
        <w:rPr>
          <w:rFonts w:hint="eastAsia" w:ascii="宋体" w:hAnsi="宋体" w:eastAsia="宋体" w:cs="宋体"/>
          <w:color w:val="000000"/>
          <w:sz w:val="24"/>
          <w:szCs w:val="24"/>
          <w:highlight w:val="none"/>
        </w:rPr>
        <w:t>章“招标公告”或“投标邀请书”。</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rPr>
        <w:t>4.</w:t>
      </w:r>
      <w:r>
        <w:rPr>
          <w:rFonts w:hint="eastAsia" w:ascii="宋体" w:hAnsi="宋体" w:cs="宋体"/>
          <w:i w:val="0"/>
          <w:iCs w:val="0"/>
          <w:color w:val="000000"/>
          <w:sz w:val="24"/>
          <w:szCs w:val="24"/>
          <w:highlight w:val="none"/>
          <w:lang w:val="en-US" w:eastAsia="zh-CN"/>
        </w:rPr>
        <w:t>2</w:t>
      </w:r>
      <w:r>
        <w:rPr>
          <w:rFonts w:hint="eastAsia" w:ascii="宋体" w:hAnsi="宋体" w:eastAsia="宋体" w:cs="宋体"/>
          <w:i w:val="0"/>
          <w:iCs w:val="0"/>
          <w:color w:val="000000"/>
          <w:sz w:val="24"/>
          <w:szCs w:val="24"/>
          <w:highlight w:val="none"/>
        </w:rPr>
        <w:t>.</w:t>
      </w:r>
      <w:r>
        <w:rPr>
          <w:rFonts w:hint="eastAsia" w:ascii="宋体" w:hAnsi="宋体" w:cs="宋体"/>
          <w:i w:val="0"/>
          <w:iCs w:val="0"/>
          <w:color w:val="000000"/>
          <w:sz w:val="24"/>
          <w:szCs w:val="24"/>
          <w:highlight w:val="none"/>
          <w:lang w:val="en-US" w:eastAsia="zh-CN"/>
        </w:rPr>
        <w:t>3</w:t>
      </w:r>
      <w:r>
        <w:rPr>
          <w:rFonts w:hint="eastAsia" w:ascii="宋体" w:hAnsi="宋体" w:eastAsia="宋体" w:cs="宋体"/>
          <w:i w:val="0"/>
          <w:iCs w:val="0"/>
          <w:color w:val="000000"/>
          <w:sz w:val="24"/>
          <w:szCs w:val="24"/>
          <w:highlight w:val="none"/>
        </w:rPr>
        <w:t xml:space="preserve"> 除投标人须知前附表另有规定外</w:t>
      </w:r>
      <w:r>
        <w:rPr>
          <w:rFonts w:hint="eastAsia" w:ascii="宋体" w:hAnsi="宋体" w:eastAsia="宋体" w:cs="宋体"/>
          <w:i w:val="0"/>
          <w:iCs w:val="0"/>
          <w:color w:val="000000"/>
          <w:sz w:val="24"/>
          <w:szCs w:val="24"/>
          <w:highlight w:val="none"/>
          <w:lang w:eastAsia="zh-CN"/>
        </w:rPr>
        <w:t>，</w:t>
      </w:r>
      <w:r>
        <w:rPr>
          <w:rFonts w:hint="eastAsia" w:ascii="宋体" w:hAnsi="宋体" w:eastAsia="宋体" w:cs="宋体"/>
          <w:i w:val="0"/>
          <w:iCs w:val="0"/>
          <w:color w:val="000000"/>
          <w:sz w:val="24"/>
          <w:szCs w:val="24"/>
          <w:highlight w:val="none"/>
        </w:rPr>
        <w:t>投标人所递交的投标文件不予退还。</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i w:val="0"/>
          <w:iCs w:val="0"/>
          <w:color w:val="000000"/>
          <w:sz w:val="24"/>
          <w:szCs w:val="24"/>
          <w:highlight w:val="none"/>
          <w:lang w:val="en-US" w:eastAsia="zh-CN"/>
        </w:rPr>
      </w:pPr>
      <w:r>
        <w:rPr>
          <w:rFonts w:hint="eastAsia" w:ascii="宋体" w:hAnsi="宋体" w:cs="宋体"/>
          <w:i w:val="0"/>
          <w:iCs w:val="0"/>
          <w:color w:val="000000"/>
          <w:sz w:val="24"/>
          <w:szCs w:val="24"/>
          <w:highlight w:val="none"/>
          <w:lang w:val="en-US" w:eastAsia="zh-CN"/>
        </w:rPr>
        <w:t xml:space="preserve">4.2.4 </w:t>
      </w:r>
      <w:r>
        <w:rPr>
          <w:rFonts w:hint="eastAsia" w:ascii="宋体" w:hAnsi="宋体" w:eastAsia="宋体" w:cs="宋体"/>
          <w:i w:val="0"/>
          <w:iCs w:val="0"/>
          <w:color w:val="000000"/>
          <w:sz w:val="24"/>
          <w:szCs w:val="24"/>
          <w:highlight w:val="none"/>
          <w:lang w:val="en-US" w:eastAsia="zh-CN"/>
        </w:rPr>
        <w:t>投标人上传电子投标文件时，应使用稳定的网络环境。上传电子投标文件后应自行检查，如发现上传文件损坏，应在递交投标文件截止时间前重新上传并检查。因投标人自身原因而导致投标文件无法导入电子开标、 评标系统，该投标视为无效投标，投标人自行承担由此导致的全部责任。</w:t>
      </w:r>
    </w:p>
    <w:p>
      <w:pPr>
        <w:pageBreakBefore w:val="0"/>
        <w:widowControl w:val="0"/>
        <w:kinsoku/>
        <w:wordWrap w:val="0"/>
        <w:overflowPunct/>
        <w:topLinePunct w:val="0"/>
        <w:autoSpaceDE/>
        <w:autoSpaceDN/>
        <w:bidi w:val="0"/>
        <w:adjustRightInd/>
        <w:spacing w:line="460" w:lineRule="exact"/>
        <w:ind w:firstLine="480" w:firstLineChars="200"/>
        <w:rPr>
          <w:rFonts w:hint="default" w:eastAsia="宋体"/>
          <w:lang w:val="en-US" w:eastAsia="zh-CN"/>
        </w:rPr>
      </w:pPr>
      <w:r>
        <w:rPr>
          <w:rFonts w:hint="eastAsia" w:ascii="宋体" w:hAnsi="宋体" w:eastAsia="宋体" w:cs="宋体"/>
          <w:i w:val="0"/>
          <w:iCs w:val="0"/>
          <w:color w:val="000000"/>
          <w:sz w:val="24"/>
          <w:szCs w:val="24"/>
          <w:highlight w:val="none"/>
          <w:lang w:val="en-US" w:eastAsia="zh-CN"/>
        </w:rPr>
        <w:t>4.</w:t>
      </w:r>
      <w:r>
        <w:rPr>
          <w:rFonts w:hint="eastAsia" w:ascii="宋体" w:hAnsi="宋体" w:cs="宋体"/>
          <w:i w:val="0"/>
          <w:iCs w:val="0"/>
          <w:color w:val="000000"/>
          <w:sz w:val="24"/>
          <w:szCs w:val="24"/>
          <w:highlight w:val="none"/>
          <w:lang w:val="en-US" w:eastAsia="zh-CN"/>
        </w:rPr>
        <w:t>2</w:t>
      </w:r>
      <w:r>
        <w:rPr>
          <w:rFonts w:hint="eastAsia" w:ascii="宋体" w:hAnsi="宋体" w:eastAsia="宋体" w:cs="宋体"/>
          <w:i w:val="0"/>
          <w:iCs w:val="0"/>
          <w:color w:val="000000"/>
          <w:sz w:val="24"/>
          <w:szCs w:val="24"/>
          <w:highlight w:val="none"/>
          <w:lang w:val="en-US" w:eastAsia="zh-CN"/>
        </w:rPr>
        <w:t>.</w:t>
      </w:r>
      <w:r>
        <w:rPr>
          <w:rFonts w:hint="eastAsia" w:ascii="宋体" w:hAnsi="宋体" w:cs="宋体"/>
          <w:i w:val="0"/>
          <w:iCs w:val="0"/>
          <w:color w:val="000000"/>
          <w:sz w:val="24"/>
          <w:szCs w:val="24"/>
          <w:highlight w:val="none"/>
          <w:lang w:val="en-US" w:eastAsia="zh-CN"/>
        </w:rPr>
        <w:t>5</w:t>
      </w:r>
      <w:r>
        <w:rPr>
          <w:rFonts w:hint="eastAsia" w:ascii="宋体" w:hAnsi="宋体" w:eastAsia="宋体" w:cs="宋体"/>
          <w:i w:val="0"/>
          <w:iCs w:val="0"/>
          <w:color w:val="000000"/>
          <w:sz w:val="24"/>
          <w:szCs w:val="24"/>
          <w:highlight w:val="none"/>
          <w:lang w:val="en-US" w:eastAsia="zh-CN"/>
        </w:rPr>
        <w:t xml:space="preserve"> 逾期送达（或上传）的或未送达（或未上传）指定地点的投标文件，招标人将予以拒收。</w:t>
      </w:r>
    </w:p>
    <w:p>
      <w:pPr>
        <w:pageBreakBefore w:val="0"/>
        <w:widowControl w:val="0"/>
        <w:kinsoku/>
        <w:wordWrap w:val="0"/>
        <w:overflowPunct/>
        <w:topLinePunct w:val="0"/>
        <w:autoSpaceDE/>
        <w:autoSpaceDN/>
        <w:bidi w:val="0"/>
        <w:adjustRightInd/>
        <w:spacing w:line="460" w:lineRule="exact"/>
        <w:outlineLvl w:val="2"/>
        <w:rPr>
          <w:rFonts w:hint="eastAsia" w:ascii="宋体" w:hAnsi="宋体" w:eastAsia="宋体" w:cs="宋体"/>
          <w:b/>
          <w:color w:val="000000"/>
          <w:sz w:val="24"/>
          <w:szCs w:val="24"/>
          <w:highlight w:val="none"/>
        </w:rPr>
      </w:pPr>
      <w:bookmarkStart w:id="166" w:name="_Toc285028721"/>
      <w:bookmarkStart w:id="167" w:name="_Toc307416102"/>
      <w:bookmarkStart w:id="168" w:name="_Toc265657449"/>
      <w:bookmarkStart w:id="169" w:name="_Toc380069056"/>
      <w:bookmarkStart w:id="170" w:name="_Toc307415490"/>
      <w:bookmarkStart w:id="171" w:name="_Toc267472822"/>
      <w:bookmarkStart w:id="172" w:name="_Toc307417399"/>
      <w:bookmarkStart w:id="173" w:name="_Toc307485166"/>
      <w:r>
        <w:rPr>
          <w:rFonts w:hint="eastAsia" w:ascii="宋体" w:hAnsi="宋体" w:eastAsia="宋体" w:cs="宋体"/>
          <w:b/>
          <w:color w:val="000000"/>
          <w:sz w:val="24"/>
          <w:szCs w:val="24"/>
          <w:highlight w:val="none"/>
        </w:rPr>
        <w:t>4.</w:t>
      </w:r>
      <w:r>
        <w:rPr>
          <w:rFonts w:hint="eastAsia" w:ascii="宋体" w:hAnsi="宋体" w:cs="宋体"/>
          <w:b/>
          <w:color w:val="000000"/>
          <w:sz w:val="24"/>
          <w:szCs w:val="24"/>
          <w:highlight w:val="none"/>
          <w:lang w:val="en-US" w:eastAsia="zh-CN"/>
        </w:rPr>
        <w:t>3</w:t>
      </w:r>
      <w:r>
        <w:rPr>
          <w:rFonts w:hint="eastAsia" w:ascii="宋体" w:hAnsi="宋体" w:eastAsia="宋体" w:cs="宋体"/>
          <w:b/>
          <w:color w:val="000000"/>
          <w:sz w:val="24"/>
          <w:szCs w:val="24"/>
          <w:highlight w:val="none"/>
        </w:rPr>
        <w:t xml:space="preserve"> 投标文件的修改与撤回</w:t>
      </w:r>
      <w:bookmarkEnd w:id="166"/>
      <w:bookmarkEnd w:id="167"/>
      <w:bookmarkEnd w:id="168"/>
      <w:bookmarkEnd w:id="169"/>
      <w:bookmarkEnd w:id="170"/>
      <w:bookmarkEnd w:id="171"/>
      <w:bookmarkEnd w:id="172"/>
      <w:bookmarkEnd w:id="173"/>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bookmarkStart w:id="174" w:name="_Toc168475674"/>
      <w:bookmarkStart w:id="175" w:name="_Toc221950189"/>
      <w:bookmarkStart w:id="176" w:name="_Toc222033836"/>
      <w:bookmarkStart w:id="177" w:name="_Toc222032654"/>
      <w:bookmarkStart w:id="178" w:name="_Toc222030987"/>
      <w:bookmarkStart w:id="179" w:name="_Toc144974527"/>
      <w:bookmarkStart w:id="180" w:name="_Toc168476077"/>
      <w:bookmarkStart w:id="181" w:name="_Toc229305345"/>
      <w:bookmarkStart w:id="182" w:name="_Toc17992"/>
      <w:bookmarkStart w:id="183" w:name="_Toc222029485"/>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 在本章第4.</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.1项规定的投标截止时间前，投标人可以修改或撤回已递交的投标文件。</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 xml:space="preserve"> 投标人对电子投标文件进行撤回的，应在“陕西省公共资源交易平台”直接进行撤回操作。投标人对电子投标文件进行修改的，应按照本章第3条、第4条规定进行编制、加密和递交，以投标截止时间前最后完成上传的文件为准。</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4.</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投标人撤回投标文件的，招标人自收到投标人书面撤回通知之日起5日内退还已收取的投标保证金。</w:t>
      </w:r>
    </w:p>
    <w:p>
      <w:pPr>
        <w:pStyle w:val="4"/>
        <w:pageBreakBefore w:val="0"/>
        <w:widowControl w:val="0"/>
        <w:kinsoku/>
        <w:wordWrap w:val="0"/>
        <w:overflowPunct/>
        <w:topLinePunct w:val="0"/>
        <w:autoSpaceDE/>
        <w:autoSpaceDN/>
        <w:bidi w:val="0"/>
        <w:adjustRightInd/>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开标</w:t>
      </w:r>
      <w:bookmarkEnd w:id="174"/>
      <w:bookmarkEnd w:id="175"/>
      <w:bookmarkEnd w:id="176"/>
      <w:bookmarkEnd w:id="177"/>
      <w:bookmarkEnd w:id="178"/>
      <w:bookmarkEnd w:id="179"/>
      <w:bookmarkEnd w:id="180"/>
      <w:bookmarkEnd w:id="181"/>
      <w:bookmarkEnd w:id="182"/>
      <w:bookmarkEnd w:id="183"/>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bookmarkStart w:id="184" w:name="_Toc221950192"/>
      <w:r>
        <w:rPr>
          <w:rFonts w:hint="eastAsia" w:ascii="宋体" w:hAnsi="宋体" w:eastAsia="宋体" w:cs="宋体"/>
          <w:b/>
          <w:color w:val="000000"/>
          <w:sz w:val="24"/>
          <w:szCs w:val="24"/>
          <w:highlight w:val="none"/>
        </w:rPr>
        <w:t>5.1</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开标时间和地点</w:t>
      </w:r>
    </w:p>
    <w:bookmarkEnd w:id="184"/>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宋体" w:hAnsi="宋体" w:eastAsia="宋体" w:cs="宋体"/>
          <w:color w:val="auto"/>
          <w:sz w:val="24"/>
          <w:highlight w:val="none"/>
          <w:lang w:eastAsia="zh-CN"/>
        </w:rPr>
      </w:pPr>
      <w:bookmarkStart w:id="185" w:name="_Toc221950196"/>
      <w:r>
        <w:rPr>
          <w:rFonts w:hint="eastAsia" w:ascii="宋体" w:hAnsi="宋体" w:eastAsia="宋体" w:cs="宋体"/>
          <w:color w:val="auto"/>
          <w:sz w:val="24"/>
          <w:highlight w:val="none"/>
          <w:lang w:eastAsia="zh-CN"/>
        </w:rPr>
        <w:t>招标人在本章第4.2.1项规定的投标截止时间</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开标时间）和投标人须知前附表规定的地点对收到的投标文件第一个信封（</w:t>
      </w:r>
      <w:r>
        <w:rPr>
          <w:rFonts w:hint="eastAsia" w:ascii="宋体" w:hAnsi="宋体" w:cs="宋体"/>
          <w:color w:val="auto"/>
          <w:sz w:val="24"/>
          <w:highlight w:val="none"/>
          <w:lang w:eastAsia="zh-CN"/>
        </w:rPr>
        <w:t>商务及技术文件</w:t>
      </w:r>
      <w:r>
        <w:rPr>
          <w:rFonts w:hint="eastAsia" w:ascii="宋体" w:hAnsi="宋体" w:eastAsia="宋体" w:cs="宋体"/>
          <w:color w:val="auto"/>
          <w:sz w:val="24"/>
          <w:highlight w:val="none"/>
          <w:lang w:eastAsia="zh-CN"/>
        </w:rPr>
        <w:t>）公开开标，并邀请所有投标人的法定代表人或其委托代理人准时参加。</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招标人在投标人须知前附表规定的时间和地点对投标文件第二个信封（报价文件）公开开标，并邀请所有投标人的法定代表人或其委托代理人准时参加。</w:t>
      </w:r>
    </w:p>
    <w:p>
      <w:pPr>
        <w:pageBreakBefore w:val="0"/>
        <w:widowControl w:val="0"/>
        <w:kinsoku/>
        <w:wordWrap w:val="0"/>
        <w:overflowPunct/>
        <w:topLinePunct w:val="0"/>
        <w:autoSpaceDE/>
        <w:autoSpaceDN/>
        <w:bidi w:val="0"/>
        <w:adjustRightInd/>
        <w:spacing w:line="460" w:lineRule="exact"/>
        <w:ind w:firstLine="480" w:firstLineChars="200"/>
        <w:outlineLvl w:val="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投标人若未派法定代表人或委托代理人出席开标活动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视为该投标人默认开标结果。</w:t>
      </w:r>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5.2</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开标程序</w:t>
      </w:r>
    </w:p>
    <w:bookmarkEnd w:id="185"/>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5.2.1</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主持人按下列程序对投标文件第一个信封</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商务及技术文件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进行开标</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）宣布开标纪律；</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）公布在投标截止时间前递交投标文件的投标人数量；</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）宣布开标人、唱标人、记录人等有关人员姓名；</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）投标人代表解密加密的投标文件；</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eastAsia="zh-CN"/>
        </w:rPr>
        <w:t>）导入并读取所有解密成功的投标文件第一个信封（商务及技术文件）的内容；</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eastAsia="zh-CN"/>
        </w:rPr>
        <w:t>）公布标段名称、投标人名称、投标保证金的递交情况、工期及其他内容，并记录在案；</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lang w:eastAsia="zh-CN"/>
        </w:rPr>
        <w:t>）投标人代表、招标人代表、记录人等有关人员在开标记录上签字确认；</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lang w:eastAsia="zh-CN"/>
        </w:rPr>
        <w:t>）开标结束。</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w:t>
      </w:r>
      <w:r>
        <w:rPr>
          <w:rFonts w:hint="eastAsia" w:ascii="宋体" w:hAnsi="宋体" w:cs="宋体"/>
          <w:color w:val="000000"/>
          <w:sz w:val="24"/>
          <w:szCs w:val="24"/>
          <w:highlight w:val="none"/>
          <w:lang w:val="en-US" w:eastAsia="zh-CN"/>
        </w:rPr>
        <w:t xml:space="preserve">2 </w:t>
      </w:r>
      <w:r>
        <w:rPr>
          <w:rFonts w:hint="eastAsia" w:ascii="宋体" w:hAnsi="宋体" w:eastAsia="宋体" w:cs="宋体"/>
          <w:color w:val="000000"/>
          <w:sz w:val="24"/>
          <w:szCs w:val="24"/>
          <w:highlight w:val="none"/>
          <w:lang w:eastAsia="zh-CN"/>
        </w:rPr>
        <w:t>在投标文件第一个信封（商务及技术文件）完成评审前，投标文件第二个信封（报价文件）不予开标。</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5.2.3</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招标人将按照本章第5.1款规定的时间和地点对投标文件第二个信封</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报价文件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进行开标。主持人按下列程序进行开标</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）宣布开标纪律；</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）宣布通过投标文件第一个信封（商务及技术文件）评审的投标人名单；</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宣布开标人、唱标人、记录人等有关人员姓名；</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）开启通过投标文件第一个信封 （商务及技术文件）评审的投标人的第二个信封（报价文件）；</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eastAsia="zh-CN"/>
        </w:rPr>
        <w:t>）公布标段名称、投标人名称、投标报价及其他内容，并记录在案；</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eastAsia="zh-CN"/>
        </w:rPr>
        <w:t>）投标人代表、招标人代表、记录人等有关人员在开标记录上签字确认；</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lang w:eastAsia="zh-CN"/>
        </w:rPr>
        <w:t>）开标结束。</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5.2.4</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若采用合理低价法或综合评分法，在投标文件第二个信封</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报价文件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开标现场，招标人将按第三章“评标办法”规定的原则计算并宣布评标基准价。若招标人发现投标文件出现以下任一情况，其投标报价将不再参加评标基准价的计算</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未在投标函上填写投标总价</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投标报价或调价函中的报价超出招标人公布的最高投标限价</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如有</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投标报价或调价函中报价的大写金额无法确定具体数值</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投标函上填写的标段号与投标文件封套上标记的标段号不一致。</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如果投标人认为某</w:t>
      </w:r>
      <w:r>
        <w:rPr>
          <w:rFonts w:hint="eastAsia" w:ascii="宋体" w:hAnsi="宋体" w:cs="宋体"/>
          <w:color w:val="000000"/>
          <w:sz w:val="24"/>
          <w:szCs w:val="24"/>
          <w:highlight w:val="none"/>
          <w:lang w:eastAsia="zh-CN"/>
        </w:rPr>
        <w:t>一</w:t>
      </w:r>
      <w:r>
        <w:rPr>
          <w:rFonts w:hint="eastAsia" w:ascii="宋体" w:hAnsi="宋体" w:eastAsia="宋体" w:cs="宋体"/>
          <w:color w:val="000000"/>
          <w:sz w:val="24"/>
          <w:szCs w:val="24"/>
          <w:highlight w:val="none"/>
        </w:rPr>
        <w:t>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5.2.5 在投标文件第一个信封 （商务及技术文件）或投标文件第二个信封（报价文件）开标过程中，若招标人宣读的内容与投标文件不符，投标人有权在开标现场提出疑问，经招标人当场核查确认后，重新宣读其投标文件。若投标人现场未提出疑问，则认为投标人已确认招标人宣读的内容。</w:t>
      </w:r>
    </w:p>
    <w:p>
      <w:pPr>
        <w:pageBreakBefore w:val="0"/>
        <w:widowControl w:val="0"/>
        <w:kinsoku/>
        <w:wordWrap w:val="0"/>
        <w:overflowPunct/>
        <w:topLinePunct w:val="0"/>
        <w:autoSpaceDE/>
        <w:autoSpaceDN/>
        <w:bidi w:val="0"/>
        <w:adjustRightInd/>
        <w:spacing w:line="460" w:lineRule="exact"/>
        <w:rPr>
          <w:rFonts w:hint="default" w:ascii="宋体" w:hAnsi="宋体" w:cs="宋体"/>
          <w:b/>
          <w:bCs/>
          <w:color w:val="000000"/>
          <w:sz w:val="24"/>
          <w:szCs w:val="24"/>
          <w:highlight w:val="none"/>
          <w:lang w:val="en-US" w:eastAsia="zh-CN"/>
        </w:rPr>
      </w:pPr>
      <w:r>
        <w:rPr>
          <w:rFonts w:hint="default" w:ascii="宋体" w:hAnsi="宋体" w:cs="宋体"/>
          <w:b/>
          <w:bCs/>
          <w:color w:val="000000"/>
          <w:sz w:val="24"/>
          <w:szCs w:val="24"/>
          <w:highlight w:val="none"/>
          <w:lang w:val="en-US" w:eastAsia="zh-CN"/>
        </w:rPr>
        <w:t>5.3</w:t>
      </w:r>
      <w:r>
        <w:rPr>
          <w:rFonts w:hint="eastAsia" w:ascii="宋体" w:hAnsi="宋体" w:cs="宋体"/>
          <w:b/>
          <w:bCs/>
          <w:color w:val="000000"/>
          <w:sz w:val="24"/>
          <w:szCs w:val="24"/>
          <w:highlight w:val="none"/>
          <w:lang w:val="en-US" w:eastAsia="zh-CN"/>
        </w:rPr>
        <w:t xml:space="preserve"> </w:t>
      </w:r>
      <w:r>
        <w:rPr>
          <w:rFonts w:hint="default" w:ascii="宋体" w:hAnsi="宋体" w:cs="宋体"/>
          <w:b/>
          <w:bCs/>
          <w:color w:val="000000"/>
          <w:sz w:val="24"/>
          <w:szCs w:val="24"/>
          <w:highlight w:val="none"/>
          <w:lang w:val="en-US" w:eastAsia="zh-CN"/>
        </w:rPr>
        <w:t>开标异议</w:t>
      </w:r>
    </w:p>
    <w:p>
      <w:pPr>
        <w:pageBreakBefore w:val="0"/>
        <w:widowControl w:val="0"/>
        <w:kinsoku/>
        <w:wordWrap w:val="0"/>
        <w:overflowPunct/>
        <w:topLinePunct w:val="0"/>
        <w:autoSpaceDE/>
        <w:autoSpaceDN/>
        <w:bidi w:val="0"/>
        <w:adjustRightInd/>
        <w:spacing w:line="460" w:lineRule="exact"/>
        <w:ind w:firstLine="480" w:firstLineChars="200"/>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投标人对开标有异议的，应在开标现场提出，招标人当场作出答复，并制作记录，有异议的投标人代表、招标人代表、记录人等有关人员在记录上签字确认。</w:t>
      </w:r>
    </w:p>
    <w:p>
      <w:pPr>
        <w:pStyle w:val="4"/>
        <w:pageBreakBefore w:val="0"/>
        <w:widowControl w:val="0"/>
        <w:kinsoku/>
        <w:wordWrap w:val="0"/>
        <w:overflowPunct/>
        <w:topLinePunct w:val="0"/>
        <w:autoSpaceDE/>
        <w:autoSpaceDN/>
        <w:bidi w:val="0"/>
        <w:adjustRightInd/>
        <w:spacing w:line="460" w:lineRule="exact"/>
        <w:rPr>
          <w:rFonts w:hint="eastAsia" w:ascii="宋体" w:hAnsi="宋体" w:eastAsia="宋体" w:cs="宋体"/>
          <w:color w:val="000000"/>
          <w:sz w:val="24"/>
          <w:szCs w:val="24"/>
          <w:highlight w:val="none"/>
        </w:rPr>
      </w:pPr>
      <w:bookmarkStart w:id="186" w:name="_Toc221950200"/>
      <w:bookmarkStart w:id="187" w:name="_Toc222032655"/>
      <w:bookmarkStart w:id="188" w:name="_Toc168475677"/>
      <w:bookmarkStart w:id="189" w:name="_Toc222030988"/>
      <w:bookmarkStart w:id="190" w:name="_Toc168476080"/>
      <w:bookmarkStart w:id="191" w:name="_Toc222029486"/>
      <w:bookmarkStart w:id="192" w:name="_Toc222033837"/>
      <w:bookmarkStart w:id="193" w:name="_Toc5031"/>
      <w:bookmarkStart w:id="194" w:name="_Toc229305346"/>
      <w:bookmarkStart w:id="195" w:name="_Toc144974530"/>
      <w:r>
        <w:rPr>
          <w:rFonts w:hint="eastAsia" w:ascii="宋体" w:hAnsi="宋体" w:eastAsia="宋体" w:cs="宋体"/>
          <w:color w:val="000000"/>
          <w:sz w:val="24"/>
          <w:szCs w:val="24"/>
          <w:highlight w:val="none"/>
        </w:rPr>
        <w:t>6. 评标</w:t>
      </w:r>
      <w:bookmarkEnd w:id="186"/>
      <w:bookmarkEnd w:id="187"/>
      <w:bookmarkEnd w:id="188"/>
      <w:bookmarkEnd w:id="189"/>
      <w:bookmarkEnd w:id="190"/>
      <w:bookmarkEnd w:id="191"/>
      <w:bookmarkEnd w:id="192"/>
      <w:bookmarkEnd w:id="193"/>
      <w:bookmarkEnd w:id="194"/>
      <w:bookmarkEnd w:id="195"/>
    </w:p>
    <w:p>
      <w:pPr>
        <w:pageBreakBefore w:val="0"/>
        <w:widowControl w:val="0"/>
        <w:kinsoku/>
        <w:wordWrap w:val="0"/>
        <w:overflowPunct/>
        <w:topLinePunct w:val="0"/>
        <w:autoSpaceDE/>
        <w:autoSpaceDN/>
        <w:bidi w:val="0"/>
        <w:adjustRightInd/>
        <w:spacing w:line="460" w:lineRule="exact"/>
        <w:ind w:firstLine="2"/>
        <w:outlineLvl w:val="2"/>
        <w:rPr>
          <w:rFonts w:hint="eastAsia" w:ascii="宋体" w:hAnsi="宋体" w:eastAsia="宋体" w:cs="宋体"/>
          <w:b/>
          <w:color w:val="000000"/>
          <w:sz w:val="24"/>
          <w:szCs w:val="24"/>
          <w:highlight w:val="none"/>
        </w:rPr>
      </w:pPr>
      <w:bookmarkStart w:id="196" w:name="_Toc265657454"/>
      <w:bookmarkStart w:id="197" w:name="_Toc307416107"/>
      <w:bookmarkStart w:id="198" w:name="_Toc380069061"/>
      <w:bookmarkStart w:id="199" w:name="_Toc285028726"/>
      <w:bookmarkStart w:id="200" w:name="_Toc307485171"/>
      <w:bookmarkStart w:id="201" w:name="_Toc307417404"/>
      <w:bookmarkStart w:id="202" w:name="_Toc267472827"/>
      <w:bookmarkStart w:id="203" w:name="_Toc307415495"/>
      <w:bookmarkStart w:id="204" w:name="_Toc221950208"/>
      <w:bookmarkStart w:id="205" w:name="_Toc144974534"/>
      <w:bookmarkStart w:id="206" w:name="_Toc222032656"/>
      <w:bookmarkStart w:id="207" w:name="_Toc222029487"/>
      <w:bookmarkStart w:id="208" w:name="_Toc222033838"/>
      <w:bookmarkStart w:id="209" w:name="_Toc168475681"/>
      <w:bookmarkStart w:id="210" w:name="_Toc222030989"/>
      <w:bookmarkStart w:id="211" w:name="_Toc168476084"/>
      <w:bookmarkStart w:id="212" w:name="_Toc229305347"/>
      <w:r>
        <w:rPr>
          <w:rFonts w:hint="eastAsia" w:ascii="宋体" w:hAnsi="宋体" w:eastAsia="宋体" w:cs="宋体"/>
          <w:b/>
          <w:color w:val="000000"/>
          <w:sz w:val="24"/>
          <w:szCs w:val="24"/>
          <w:highlight w:val="none"/>
        </w:rPr>
        <w:t>6.1 评标委员会</w:t>
      </w:r>
      <w:bookmarkEnd w:id="196"/>
      <w:bookmarkEnd w:id="197"/>
      <w:bookmarkEnd w:id="198"/>
      <w:bookmarkEnd w:id="199"/>
      <w:bookmarkEnd w:id="200"/>
      <w:bookmarkEnd w:id="201"/>
      <w:bookmarkEnd w:id="202"/>
      <w:bookmarkEnd w:id="203"/>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6.1.1 </w:t>
      </w:r>
      <w:r>
        <w:rPr>
          <w:rFonts w:hint="eastAsia" w:ascii="宋体" w:hAnsi="宋体" w:eastAsia="宋体" w:cs="宋体"/>
          <w:color w:val="auto"/>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6.1.2 评标委员会成员有下列情形之一的，应主动提出回避：</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（1）为负责招标项目监督管理的交通运输主管部门的工作人员；</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（2）与投标人法定代表人或其委托代理人有近亲属关系；</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（3）为投标人的工作人员或退休人员；</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（4）与投标人有其他利害关系，可能影响评标活动公正性；</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（5）在与招标投标有关的活动中有过违法违规行为、曾受过行政处罚或刑事处罚。</w:t>
      </w:r>
    </w:p>
    <w:p>
      <w:pPr>
        <w:pageBreakBefore w:val="0"/>
        <w:widowControl w:val="0"/>
        <w:kinsoku/>
        <w:wordWrap w:val="0"/>
        <w:overflowPunct/>
        <w:topLinePunct w:val="0"/>
        <w:autoSpaceDE/>
        <w:autoSpaceDN/>
        <w:bidi w:val="0"/>
        <w:adjustRightInd/>
        <w:snapToGrid w:val="0"/>
        <w:spacing w:line="460" w:lineRule="exact"/>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p>
    <w:p>
      <w:pPr>
        <w:pageBreakBefore w:val="0"/>
        <w:widowControl w:val="0"/>
        <w:kinsoku/>
        <w:wordWrap w:val="0"/>
        <w:overflowPunct/>
        <w:topLinePunct w:val="0"/>
        <w:autoSpaceDE/>
        <w:autoSpaceDN/>
        <w:bidi w:val="0"/>
        <w:adjustRightInd/>
        <w:spacing w:line="460" w:lineRule="exact"/>
        <w:ind w:firstLine="2"/>
        <w:outlineLvl w:val="2"/>
        <w:rPr>
          <w:rFonts w:hint="eastAsia" w:ascii="宋体" w:hAnsi="宋体" w:eastAsia="宋体" w:cs="宋体"/>
          <w:b/>
          <w:color w:val="000000"/>
          <w:sz w:val="24"/>
          <w:szCs w:val="24"/>
          <w:highlight w:val="none"/>
        </w:rPr>
      </w:pPr>
      <w:bookmarkStart w:id="213" w:name="_Toc307417405"/>
      <w:bookmarkStart w:id="214" w:name="_Toc285028727"/>
      <w:bookmarkStart w:id="215" w:name="_Toc380069062"/>
      <w:bookmarkStart w:id="216" w:name="_Toc307485172"/>
      <w:bookmarkStart w:id="217" w:name="_Toc307416108"/>
      <w:bookmarkStart w:id="218" w:name="_Toc307415496"/>
      <w:bookmarkStart w:id="219" w:name="_Toc267472828"/>
      <w:bookmarkStart w:id="220" w:name="_Toc265657455"/>
      <w:r>
        <w:rPr>
          <w:rFonts w:hint="eastAsia" w:ascii="宋体" w:hAnsi="宋体" w:eastAsia="宋体" w:cs="宋体"/>
          <w:b/>
          <w:color w:val="000000"/>
          <w:sz w:val="24"/>
          <w:szCs w:val="24"/>
          <w:highlight w:val="none"/>
        </w:rPr>
        <w:t>6.2 评标原则</w:t>
      </w:r>
      <w:bookmarkEnd w:id="213"/>
      <w:bookmarkEnd w:id="214"/>
      <w:bookmarkEnd w:id="215"/>
      <w:bookmarkEnd w:id="216"/>
      <w:bookmarkEnd w:id="217"/>
      <w:bookmarkEnd w:id="218"/>
      <w:bookmarkEnd w:id="219"/>
      <w:bookmarkEnd w:id="220"/>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评标活动遵循公平、公正、科学和择优的原则。</w:t>
      </w:r>
    </w:p>
    <w:p>
      <w:pPr>
        <w:pageBreakBefore w:val="0"/>
        <w:widowControl w:val="0"/>
        <w:kinsoku/>
        <w:wordWrap w:val="0"/>
        <w:overflowPunct/>
        <w:topLinePunct w:val="0"/>
        <w:autoSpaceDE/>
        <w:autoSpaceDN/>
        <w:bidi w:val="0"/>
        <w:adjustRightInd/>
        <w:spacing w:line="460" w:lineRule="exact"/>
        <w:ind w:firstLine="2"/>
        <w:outlineLvl w:val="2"/>
        <w:rPr>
          <w:rFonts w:hint="eastAsia" w:ascii="宋体" w:hAnsi="宋体" w:eastAsia="宋体" w:cs="宋体"/>
          <w:b/>
          <w:color w:val="000000"/>
          <w:sz w:val="24"/>
          <w:szCs w:val="24"/>
          <w:highlight w:val="none"/>
        </w:rPr>
      </w:pPr>
      <w:bookmarkStart w:id="221" w:name="_Toc267472829"/>
      <w:bookmarkStart w:id="222" w:name="_Toc307415497"/>
      <w:bookmarkStart w:id="223" w:name="_Toc307417406"/>
      <w:bookmarkStart w:id="224" w:name="_Toc285028728"/>
      <w:bookmarkStart w:id="225" w:name="_Toc265657456"/>
      <w:bookmarkStart w:id="226" w:name="_Toc307485173"/>
      <w:bookmarkStart w:id="227" w:name="_Toc380069063"/>
      <w:bookmarkStart w:id="228" w:name="_Toc307416109"/>
      <w:r>
        <w:rPr>
          <w:rFonts w:hint="eastAsia" w:ascii="宋体" w:hAnsi="宋体" w:eastAsia="宋体" w:cs="宋体"/>
          <w:b/>
          <w:color w:val="000000"/>
          <w:sz w:val="24"/>
          <w:szCs w:val="24"/>
          <w:highlight w:val="none"/>
        </w:rPr>
        <w:t>6.3 评标</w:t>
      </w:r>
      <w:bookmarkEnd w:id="221"/>
      <w:bookmarkEnd w:id="222"/>
      <w:bookmarkEnd w:id="223"/>
      <w:bookmarkEnd w:id="224"/>
      <w:bookmarkEnd w:id="225"/>
      <w:bookmarkEnd w:id="226"/>
      <w:bookmarkEnd w:id="227"/>
      <w:bookmarkEnd w:id="228"/>
    </w:p>
    <w:p>
      <w:pPr>
        <w:pageBreakBefore w:val="0"/>
        <w:widowControl w:val="0"/>
        <w:tabs>
          <w:tab w:val="left" w:pos="2940"/>
        </w:tabs>
        <w:kinsoku/>
        <w:wordWrap w:val="0"/>
        <w:overflowPunct/>
        <w:topLinePunct w:val="0"/>
        <w:autoSpaceDE/>
        <w:autoSpaceDN/>
        <w:bidi w:val="0"/>
        <w:adjustRightInd/>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 xml:space="preserve">6.3.1 </w:t>
      </w:r>
      <w:r>
        <w:rPr>
          <w:rFonts w:hint="eastAsia" w:ascii="宋体" w:hAnsi="宋体" w:eastAsia="宋体" w:cs="宋体"/>
          <w:color w:val="000000"/>
          <w:sz w:val="24"/>
          <w:szCs w:val="24"/>
          <w:highlight w:val="none"/>
        </w:rPr>
        <w:t>评标委员会按照第三章“评标办法”规定的方法、评审因素、标准和程序</w:t>
      </w:r>
      <w:r>
        <w:rPr>
          <w:rFonts w:hint="eastAsia" w:ascii="宋体" w:hAnsi="宋体" w:eastAsia="宋体" w:cs="宋体"/>
          <w:color w:val="000000"/>
          <w:sz w:val="24"/>
          <w:szCs w:val="24"/>
          <w:highlight w:val="none"/>
          <w:lang w:eastAsia="zh-CN"/>
        </w:rPr>
        <w:t>及招标文件规定的其他内容，</w:t>
      </w:r>
      <w:r>
        <w:rPr>
          <w:rFonts w:hint="eastAsia" w:ascii="宋体" w:hAnsi="宋体" w:eastAsia="宋体" w:cs="宋体"/>
          <w:color w:val="000000"/>
          <w:sz w:val="24"/>
          <w:szCs w:val="24"/>
          <w:highlight w:val="none"/>
        </w:rPr>
        <w:t>对投标文件进行评审。</w:t>
      </w:r>
      <w:r>
        <w:rPr>
          <w:rFonts w:hint="eastAsia" w:ascii="宋体" w:hAnsi="宋体" w:eastAsia="宋体" w:cs="宋体"/>
          <w:color w:val="000000"/>
          <w:sz w:val="24"/>
          <w:szCs w:val="24"/>
          <w:highlight w:val="none"/>
          <w:lang w:eastAsia="zh-CN"/>
        </w:rPr>
        <w:t>本项目招标文件中</w:t>
      </w:r>
      <w:r>
        <w:rPr>
          <w:rFonts w:hint="eastAsia" w:ascii="宋体" w:hAnsi="宋体" w:eastAsia="宋体" w:cs="宋体"/>
          <w:color w:val="000000"/>
          <w:sz w:val="24"/>
          <w:szCs w:val="24"/>
          <w:highlight w:val="none"/>
        </w:rPr>
        <w:t>没有规定的方法、评审因素和标准，不作为评标依据。</w:t>
      </w:r>
    </w:p>
    <w:p>
      <w:pPr>
        <w:pageBreakBefore w:val="0"/>
        <w:widowControl w:val="0"/>
        <w:tabs>
          <w:tab w:val="left" w:pos="2940"/>
        </w:tabs>
        <w:kinsoku/>
        <w:wordWrap w:val="0"/>
        <w:overflowPunct/>
        <w:topLinePunct w:val="0"/>
        <w:autoSpaceDE/>
        <w:autoSpaceDN/>
        <w:bidi w:val="0"/>
        <w:adjustRightInd/>
        <w:snapToGrid w:val="0"/>
        <w:spacing w:line="460" w:lineRule="exact"/>
        <w:ind w:firstLine="480" w:firstLineChars="200"/>
        <w:jc w:val="left"/>
        <w:rPr>
          <w:rFonts w:hint="eastAsia"/>
        </w:rPr>
      </w:pPr>
      <w:r>
        <w:rPr>
          <w:rFonts w:hint="eastAsia" w:ascii="宋体" w:hAnsi="宋体" w:cs="宋体"/>
          <w:color w:val="000000"/>
          <w:sz w:val="24"/>
          <w:szCs w:val="24"/>
          <w:highlight w:val="none"/>
          <w:lang w:val="en-US" w:eastAsia="zh-CN"/>
        </w:rPr>
        <w:t>6.3.2 评标完成后，评标委员会应向招标人提交书面评标报告和中标候选人名单。评标委员会推荐中标候选人的人数见投标人须知前附表。</w:t>
      </w:r>
    </w:p>
    <w:p>
      <w:pPr>
        <w:pStyle w:val="4"/>
        <w:pageBreakBefore w:val="0"/>
        <w:widowControl w:val="0"/>
        <w:kinsoku/>
        <w:wordWrap w:val="0"/>
        <w:overflowPunct/>
        <w:topLinePunct w:val="0"/>
        <w:autoSpaceDE/>
        <w:autoSpaceDN/>
        <w:bidi w:val="0"/>
        <w:adjustRightInd/>
        <w:spacing w:line="460" w:lineRule="exact"/>
        <w:rPr>
          <w:rFonts w:hint="eastAsia" w:ascii="宋体" w:hAnsi="宋体" w:eastAsia="宋体" w:cs="宋体"/>
          <w:color w:val="000000"/>
          <w:sz w:val="24"/>
          <w:szCs w:val="24"/>
          <w:highlight w:val="none"/>
        </w:rPr>
      </w:pPr>
      <w:bookmarkStart w:id="229" w:name="_Toc32362"/>
      <w:r>
        <w:rPr>
          <w:rFonts w:hint="eastAsia" w:ascii="宋体" w:hAnsi="宋体" w:eastAsia="宋体" w:cs="宋体"/>
          <w:color w:val="000000"/>
          <w:sz w:val="24"/>
          <w:szCs w:val="24"/>
          <w:highlight w:val="none"/>
        </w:rPr>
        <w:t>7. 合同授予</w:t>
      </w:r>
      <w:bookmarkEnd w:id="204"/>
      <w:bookmarkEnd w:id="205"/>
      <w:bookmarkEnd w:id="206"/>
      <w:bookmarkEnd w:id="207"/>
      <w:bookmarkEnd w:id="208"/>
      <w:bookmarkEnd w:id="209"/>
      <w:bookmarkEnd w:id="210"/>
      <w:bookmarkEnd w:id="211"/>
      <w:bookmarkEnd w:id="212"/>
      <w:bookmarkEnd w:id="229"/>
    </w:p>
    <w:p>
      <w:pPr>
        <w:pageBreakBefore w:val="0"/>
        <w:widowControl w:val="0"/>
        <w:kinsoku/>
        <w:wordWrap w:val="0"/>
        <w:overflowPunct/>
        <w:topLinePunct w:val="0"/>
        <w:autoSpaceDE/>
        <w:autoSpaceDN/>
        <w:bidi w:val="0"/>
        <w:adjustRightInd/>
        <w:spacing w:line="460" w:lineRule="exact"/>
        <w:ind w:firstLine="2"/>
        <w:outlineLvl w:val="2"/>
        <w:rPr>
          <w:rFonts w:hint="eastAsia" w:ascii="宋体" w:hAnsi="宋体" w:eastAsia="宋体" w:cs="宋体"/>
          <w:b/>
          <w:color w:val="000000"/>
          <w:sz w:val="24"/>
          <w:szCs w:val="24"/>
          <w:highlight w:val="none"/>
          <w:lang w:eastAsia="zh-CN"/>
        </w:rPr>
      </w:pPr>
      <w:bookmarkStart w:id="230" w:name="_Toc265657458"/>
      <w:bookmarkStart w:id="231" w:name="_Toc285028730"/>
      <w:bookmarkStart w:id="232" w:name="_Toc307417408"/>
      <w:bookmarkStart w:id="233" w:name="_Toc380069065"/>
      <w:bookmarkStart w:id="234" w:name="_Toc267472831"/>
      <w:bookmarkStart w:id="235" w:name="_Toc307485175"/>
      <w:bookmarkStart w:id="236" w:name="_Toc307416111"/>
      <w:bookmarkStart w:id="237" w:name="_Toc307415499"/>
      <w:bookmarkStart w:id="238" w:name="_Toc221950211"/>
      <w:r>
        <w:rPr>
          <w:rFonts w:hint="eastAsia" w:ascii="宋体" w:hAnsi="宋体" w:eastAsia="宋体" w:cs="宋体"/>
          <w:b/>
          <w:color w:val="000000"/>
          <w:sz w:val="24"/>
          <w:szCs w:val="24"/>
          <w:highlight w:val="none"/>
        </w:rPr>
        <w:t xml:space="preserve">7.1 </w:t>
      </w:r>
      <w:bookmarkEnd w:id="230"/>
      <w:bookmarkEnd w:id="231"/>
      <w:bookmarkEnd w:id="232"/>
      <w:bookmarkEnd w:id="233"/>
      <w:bookmarkEnd w:id="234"/>
      <w:bookmarkEnd w:id="235"/>
      <w:bookmarkEnd w:id="236"/>
      <w:bookmarkEnd w:id="237"/>
      <w:r>
        <w:rPr>
          <w:rFonts w:hint="eastAsia" w:ascii="宋体" w:hAnsi="宋体" w:cs="宋体"/>
          <w:b/>
          <w:color w:val="000000"/>
          <w:sz w:val="24"/>
          <w:szCs w:val="24"/>
          <w:highlight w:val="none"/>
          <w:lang w:eastAsia="zh-CN"/>
        </w:rPr>
        <w:t>中标候选人公示</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招标人在收到评标报告之日起3日内，按照投标人须知前附表规定的公示媒介和期限公示中标候选人，公示期不得少于3日，公示内容包括</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中标候选人排序、名称、投标报价，对工程质量要求、安全目标和工期的响应情况</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中标候选人在投标文件中承诺的项目经理和项目总工姓名、相关证书名称和编号</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中标候选人在投标文件中填报的项目业绩</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被否决投标的投标人名称、否决依据和原因</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提出异议的渠道和方式</w:t>
      </w:r>
      <w:r>
        <w:rPr>
          <w:rFonts w:hint="eastAsia" w:ascii="宋体" w:hAnsi="宋体" w:cs="宋体"/>
          <w:color w:val="000000"/>
          <w:sz w:val="24"/>
          <w:szCs w:val="24"/>
          <w:highlight w:val="none"/>
          <w:lang w:eastAsia="zh-CN"/>
        </w:rPr>
        <w:t>；</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投标人须知前附表规定公示的其他内容。</w:t>
      </w:r>
    </w:p>
    <w:p>
      <w:pPr>
        <w:pageBreakBefore w:val="0"/>
        <w:widowControl w:val="0"/>
        <w:kinsoku/>
        <w:wordWrap w:val="0"/>
        <w:overflowPunct/>
        <w:topLinePunct w:val="0"/>
        <w:autoSpaceDE/>
        <w:autoSpaceDN/>
        <w:bidi w:val="0"/>
        <w:adjustRightInd/>
        <w:spacing w:line="460" w:lineRule="exact"/>
        <w:ind w:firstLine="2"/>
        <w:outlineLvl w:val="2"/>
        <w:rPr>
          <w:rFonts w:hint="eastAsia" w:ascii="宋体" w:hAnsi="宋体" w:eastAsia="宋体" w:cs="宋体"/>
          <w:b/>
          <w:color w:val="000000"/>
          <w:sz w:val="24"/>
          <w:szCs w:val="24"/>
          <w:highlight w:val="none"/>
        </w:rPr>
      </w:pPr>
      <w:bookmarkStart w:id="239" w:name="_Toc307485177"/>
      <w:bookmarkStart w:id="240" w:name="_Toc307415501"/>
      <w:bookmarkStart w:id="241" w:name="_Toc380069067"/>
      <w:bookmarkStart w:id="242" w:name="_Toc307416113"/>
      <w:bookmarkStart w:id="243" w:name="_Toc265657460"/>
      <w:bookmarkStart w:id="244" w:name="_Toc267472833"/>
      <w:bookmarkStart w:id="245" w:name="_Toc307417410"/>
      <w:bookmarkStart w:id="246" w:name="_Toc285028732"/>
      <w:r>
        <w:rPr>
          <w:rFonts w:hint="eastAsia" w:ascii="宋体" w:hAnsi="宋体" w:eastAsia="宋体" w:cs="宋体"/>
          <w:b/>
          <w:color w:val="000000"/>
          <w:sz w:val="24"/>
          <w:szCs w:val="24"/>
          <w:highlight w:val="none"/>
        </w:rPr>
        <w:t>7.2</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评标结果异议</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投标人或其他利害关系人对依法必须进行招标的项目的评标结果有异议的，应在中标候选人公示期间提出，招标人将在收到异议之日起3日内作出答复。作出答复前，将暂停招标投标活动。</w:t>
      </w:r>
    </w:p>
    <w:p>
      <w:pPr>
        <w:pageBreakBefore w:val="0"/>
        <w:widowControl w:val="0"/>
        <w:kinsoku/>
        <w:wordWrap w:val="0"/>
        <w:overflowPunct/>
        <w:topLinePunct w:val="0"/>
        <w:autoSpaceDE/>
        <w:autoSpaceDN/>
        <w:bidi w:val="0"/>
        <w:adjustRightInd/>
        <w:snapToGrid w:val="0"/>
        <w:spacing w:line="460" w:lineRule="exact"/>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7.3</w:t>
      </w:r>
      <w:r>
        <w:rPr>
          <w:rFonts w:hint="eastAsia" w:ascii="宋体" w:hAnsi="宋体" w:cs="宋体"/>
          <w:b/>
          <w:bCs/>
          <w:color w:val="000000"/>
          <w:sz w:val="24"/>
          <w:szCs w:val="24"/>
          <w:highlight w:val="none"/>
          <w:lang w:val="en-US" w:eastAsia="zh-CN"/>
        </w:rPr>
        <w:t xml:space="preserve"> </w:t>
      </w:r>
      <w:r>
        <w:rPr>
          <w:rFonts w:hint="eastAsia" w:ascii="宋体" w:hAnsi="宋体" w:cs="宋体"/>
          <w:b/>
          <w:bCs/>
          <w:color w:val="000000"/>
          <w:sz w:val="24"/>
          <w:szCs w:val="24"/>
          <w:highlight w:val="none"/>
          <w:lang w:eastAsia="zh-CN"/>
        </w:rPr>
        <w:t>中标候选人履约能力审查</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ageBreakBefore w:val="0"/>
        <w:widowControl w:val="0"/>
        <w:kinsoku/>
        <w:wordWrap w:val="0"/>
        <w:overflowPunct/>
        <w:topLinePunct w:val="0"/>
        <w:autoSpaceDE/>
        <w:autoSpaceDN/>
        <w:bidi w:val="0"/>
        <w:adjustRightInd/>
        <w:snapToGrid w:val="0"/>
        <w:spacing w:line="460" w:lineRule="exact"/>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7.4</w:t>
      </w:r>
      <w:r>
        <w:rPr>
          <w:rFonts w:hint="eastAsia" w:ascii="宋体" w:hAnsi="宋体" w:cs="宋体"/>
          <w:b/>
          <w:bCs/>
          <w:color w:val="000000"/>
          <w:sz w:val="24"/>
          <w:szCs w:val="24"/>
          <w:highlight w:val="none"/>
          <w:lang w:val="en-US" w:eastAsia="zh-CN"/>
        </w:rPr>
        <w:t xml:space="preserve"> </w:t>
      </w:r>
      <w:r>
        <w:rPr>
          <w:rFonts w:hint="eastAsia" w:ascii="宋体" w:hAnsi="宋体" w:cs="宋体"/>
          <w:b/>
          <w:bCs/>
          <w:color w:val="000000"/>
          <w:sz w:val="24"/>
          <w:szCs w:val="24"/>
          <w:highlight w:val="none"/>
          <w:lang w:eastAsia="zh-CN"/>
        </w:rPr>
        <w:t>定标</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按照投标人须知前附表的规定，招标人或招标人授权的评标委员会依法确定中标人。</w:t>
      </w:r>
    </w:p>
    <w:p>
      <w:pPr>
        <w:pageBreakBefore w:val="0"/>
        <w:widowControl w:val="0"/>
        <w:kinsoku/>
        <w:wordWrap w:val="0"/>
        <w:overflowPunct/>
        <w:topLinePunct w:val="0"/>
        <w:autoSpaceDE/>
        <w:autoSpaceDN/>
        <w:bidi w:val="0"/>
        <w:adjustRightInd/>
        <w:snapToGrid w:val="0"/>
        <w:spacing w:line="460" w:lineRule="exact"/>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7.5</w:t>
      </w:r>
      <w:r>
        <w:rPr>
          <w:rFonts w:hint="eastAsia" w:ascii="宋体" w:hAnsi="宋体" w:cs="宋体"/>
          <w:b/>
          <w:bCs/>
          <w:color w:val="000000"/>
          <w:sz w:val="24"/>
          <w:szCs w:val="24"/>
          <w:highlight w:val="none"/>
          <w:lang w:val="en-US" w:eastAsia="zh-CN"/>
        </w:rPr>
        <w:t xml:space="preserve"> </w:t>
      </w:r>
      <w:r>
        <w:rPr>
          <w:rFonts w:hint="eastAsia" w:ascii="宋体" w:hAnsi="宋体" w:cs="宋体"/>
          <w:b/>
          <w:bCs/>
          <w:color w:val="000000"/>
          <w:sz w:val="24"/>
          <w:szCs w:val="24"/>
          <w:highlight w:val="none"/>
          <w:lang w:eastAsia="zh-CN"/>
        </w:rPr>
        <w:t>中标通知</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在本章第3.3款规定的投标有效期内，招标人以投标人须知前附表规定的形式向中标人发出中标通知书，同时将中标结果通知未中标的投标人。</w:t>
      </w:r>
    </w:p>
    <w:p>
      <w:pPr>
        <w:pageBreakBefore w:val="0"/>
        <w:widowControl w:val="0"/>
        <w:kinsoku/>
        <w:wordWrap w:val="0"/>
        <w:overflowPunct/>
        <w:topLinePunct w:val="0"/>
        <w:autoSpaceDE/>
        <w:autoSpaceDN/>
        <w:bidi w:val="0"/>
        <w:adjustRightInd/>
        <w:snapToGrid w:val="0"/>
        <w:spacing w:line="460" w:lineRule="exact"/>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7.6</w:t>
      </w:r>
      <w:r>
        <w:rPr>
          <w:rFonts w:hint="eastAsia" w:ascii="宋体" w:hAnsi="宋体" w:cs="宋体"/>
          <w:b/>
          <w:bCs/>
          <w:color w:val="000000"/>
          <w:sz w:val="24"/>
          <w:szCs w:val="24"/>
          <w:highlight w:val="none"/>
          <w:lang w:val="en-US" w:eastAsia="zh-CN"/>
        </w:rPr>
        <w:t xml:space="preserve"> </w:t>
      </w:r>
      <w:r>
        <w:rPr>
          <w:rFonts w:hint="eastAsia" w:ascii="宋体" w:hAnsi="宋体" w:cs="宋体"/>
          <w:b/>
          <w:bCs/>
          <w:color w:val="000000"/>
          <w:sz w:val="24"/>
          <w:szCs w:val="24"/>
          <w:highlight w:val="none"/>
          <w:lang w:eastAsia="zh-CN"/>
        </w:rPr>
        <w:t>中标结果公告</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招标人在确定中标人之日起3日内，按照投标人须知前附表规定的公告媒介和期限公告中标结果，公告期不得少于3日。公告内容包括中标人名称、中标价。</w:t>
      </w:r>
    </w:p>
    <w:p>
      <w:pPr>
        <w:pageBreakBefore w:val="0"/>
        <w:widowControl w:val="0"/>
        <w:kinsoku/>
        <w:wordWrap w:val="0"/>
        <w:overflowPunct/>
        <w:topLinePunct w:val="0"/>
        <w:autoSpaceDE/>
        <w:autoSpaceDN/>
        <w:bidi w:val="0"/>
        <w:adjustRightInd/>
        <w:snapToGrid w:val="0"/>
        <w:spacing w:line="460" w:lineRule="exact"/>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7.7</w:t>
      </w:r>
      <w:r>
        <w:rPr>
          <w:rFonts w:hint="eastAsia" w:ascii="宋体" w:hAnsi="宋体" w:cs="宋体"/>
          <w:b/>
          <w:bCs/>
          <w:color w:val="000000"/>
          <w:sz w:val="24"/>
          <w:szCs w:val="24"/>
          <w:highlight w:val="none"/>
          <w:lang w:val="en-US" w:eastAsia="zh-CN"/>
        </w:rPr>
        <w:t xml:space="preserve"> </w:t>
      </w:r>
      <w:r>
        <w:rPr>
          <w:rFonts w:hint="eastAsia" w:ascii="宋体" w:hAnsi="宋体" w:cs="宋体"/>
          <w:b/>
          <w:bCs/>
          <w:color w:val="000000"/>
          <w:sz w:val="24"/>
          <w:szCs w:val="24"/>
          <w:highlight w:val="none"/>
          <w:lang w:eastAsia="zh-CN"/>
        </w:rPr>
        <w:t>履约保证金</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7.7.1</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采用</w:t>
      </w:r>
      <w:r>
        <w:rPr>
          <w:rFonts w:hint="eastAsia" w:ascii="宋体" w:hAnsi="宋体" w:cs="宋体"/>
          <w:color w:val="000000"/>
          <w:sz w:val="24"/>
          <w:szCs w:val="24"/>
          <w:highlight w:val="none"/>
          <w:lang w:val="en-US" w:eastAsia="zh-CN"/>
        </w:rPr>
        <w:t>银行保函</w:t>
      </w:r>
      <w:r>
        <w:rPr>
          <w:rFonts w:hint="eastAsia" w:ascii="宋体" w:hAnsi="宋体" w:cs="宋体"/>
          <w:color w:val="000000"/>
          <w:sz w:val="24"/>
          <w:szCs w:val="24"/>
          <w:highlight w:val="none"/>
          <w:lang w:eastAsia="zh-CN"/>
        </w:rPr>
        <w:t>或信用担保形式的，所需的费用由中标人承担，中标人应保证保函有效。</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7.7.2</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中标人不能按本章第7.7</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项要求提交履约保证金的，视为放弃中标，其投标保证金不予退还，给招标人造成的损失超过投标保证金数额的，中标人还应对超过部分予以赔偿。</w:t>
      </w:r>
    </w:p>
    <w:p>
      <w:pPr>
        <w:pageBreakBefore w:val="0"/>
        <w:widowControl w:val="0"/>
        <w:kinsoku/>
        <w:wordWrap w:val="0"/>
        <w:overflowPunct/>
        <w:topLinePunct w:val="0"/>
        <w:autoSpaceDE/>
        <w:autoSpaceDN/>
        <w:bidi w:val="0"/>
        <w:adjustRightInd/>
        <w:snapToGrid w:val="0"/>
        <w:spacing w:line="460" w:lineRule="exact"/>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7.8</w:t>
      </w:r>
      <w:r>
        <w:rPr>
          <w:rFonts w:hint="eastAsia" w:ascii="宋体" w:hAnsi="宋体" w:cs="宋体"/>
          <w:b/>
          <w:bCs/>
          <w:color w:val="000000"/>
          <w:sz w:val="24"/>
          <w:szCs w:val="24"/>
          <w:highlight w:val="none"/>
          <w:lang w:val="en-US" w:eastAsia="zh-CN"/>
        </w:rPr>
        <w:t xml:space="preserve"> </w:t>
      </w:r>
      <w:r>
        <w:rPr>
          <w:rFonts w:hint="eastAsia" w:ascii="宋体" w:hAnsi="宋体" w:cs="宋体"/>
          <w:b/>
          <w:bCs/>
          <w:color w:val="000000"/>
          <w:sz w:val="24"/>
          <w:szCs w:val="24"/>
          <w:highlight w:val="none"/>
          <w:lang w:eastAsia="zh-CN"/>
        </w:rPr>
        <w:t>签订合同</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7.8.1</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招标人和中标人应在中标通知书发出之日起30日内，根据招标文件和中标人的投标文件订立书面合同。中标人无正当理由拒签合同，或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eastAsia="zh-CN"/>
        </w:rPr>
        <w:t>7.8.2</w:t>
      </w:r>
      <w:r>
        <w:rPr>
          <w:rFonts w:hint="eastAsia" w:ascii="宋体" w:hAnsi="宋体" w:cs="宋体"/>
          <w:color w:val="000000"/>
          <w:sz w:val="24"/>
          <w:szCs w:val="24"/>
          <w:highlight w:val="none"/>
          <w:lang w:val="en-US" w:eastAsia="zh-CN"/>
        </w:rPr>
        <w:t xml:space="preserve"> 发出中标通知书后，招标人无正当理由拒签合同，或在签订合同时向中标人提出附加条件的，招标人向中标人退还投标保证金；给中标人造成损失的，还应赔偿损失。</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 xml:space="preserve">7.8.3 </w:t>
      </w:r>
      <w:r>
        <w:rPr>
          <w:rFonts w:hint="eastAsia" w:ascii="宋体" w:hAnsi="宋体" w:cs="宋体"/>
          <w:color w:val="000000"/>
          <w:sz w:val="24"/>
          <w:szCs w:val="24"/>
          <w:highlight w:val="none"/>
          <w:lang w:eastAsia="zh-CN"/>
        </w:rPr>
        <w:t>签约合同价的确定原则如下：</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）按照评标办法规定对投标报价进行修正后，若修正后的最终投标报价小于开标时的投标函大写金额报价，则签订合同时以修正后的最终投标报价为准；</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）按照评标办法规定对投标报价进行修正后，若修正后的最终投标报价大于开标时的投标函大写金额报价，则签订合同时以开标时的投标函大写金额报价为准，同时按比例修正相应子目的单价或合价。</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7.8.</w:t>
      </w:r>
      <w:r>
        <w:rPr>
          <w:rFonts w:hint="eastAsia" w:ascii="宋体" w:hAnsi="宋体" w:cs="宋体"/>
          <w:color w:val="000000"/>
          <w:sz w:val="24"/>
          <w:szCs w:val="24"/>
          <w:highlight w:val="none"/>
          <w:lang w:val="en-US" w:eastAsia="zh-CN"/>
        </w:rPr>
        <w:t xml:space="preserve">4 </w:t>
      </w:r>
      <w:r>
        <w:rPr>
          <w:rFonts w:hint="eastAsia" w:ascii="宋体" w:hAnsi="宋体" w:cs="宋体"/>
          <w:color w:val="000000"/>
          <w:sz w:val="24"/>
          <w:szCs w:val="24"/>
          <w:highlight w:val="none"/>
          <w:lang w:eastAsia="zh-CN"/>
        </w:rPr>
        <w:t>联合体中标的，联合体各方应共同与招标人签订合同，就中标项目向招标人承担连带责任。</w:t>
      </w:r>
    </w:p>
    <w:p>
      <w:pPr>
        <w:pageBreakBefore w:val="0"/>
        <w:widowControl w:val="0"/>
        <w:kinsoku/>
        <w:wordWrap w:val="0"/>
        <w:overflowPunct/>
        <w:topLinePunct w:val="0"/>
        <w:autoSpaceDE/>
        <w:autoSpaceDN/>
        <w:bidi w:val="0"/>
        <w:adjustRightInd/>
        <w:snapToGrid w:val="0"/>
        <w:spacing w:line="460" w:lineRule="exact"/>
        <w:ind w:firstLine="480" w:firstLineChars="20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7.8.</w:t>
      </w:r>
      <w:r>
        <w:rPr>
          <w:rFonts w:hint="eastAsia" w:ascii="宋体" w:hAnsi="宋体" w:cs="宋体"/>
          <w:color w:val="000000"/>
          <w:sz w:val="24"/>
          <w:szCs w:val="24"/>
          <w:highlight w:val="none"/>
          <w:lang w:val="en-US" w:eastAsia="zh-CN"/>
        </w:rPr>
        <w:t xml:space="preserve">5 </w:t>
      </w:r>
      <w:r>
        <w:rPr>
          <w:rFonts w:hint="eastAsia" w:ascii="宋体" w:hAnsi="宋体" w:cs="宋体"/>
          <w:color w:val="000000"/>
          <w:sz w:val="24"/>
          <w:szCs w:val="24"/>
          <w:highlight w:val="none"/>
          <w:lang w:eastAsia="zh-CN"/>
        </w:rPr>
        <w:t>招标人和中标人在签订合同协议书的同时，须按照本招标文件规定的格式和要求签订廉政合同及安全生产合同，明确双方在廉政建设和安全生产方面的权利和义务以及应承担的责任。</w:t>
      </w:r>
    </w:p>
    <w:bookmarkEnd w:id="238"/>
    <w:bookmarkEnd w:id="239"/>
    <w:bookmarkEnd w:id="240"/>
    <w:bookmarkEnd w:id="241"/>
    <w:bookmarkEnd w:id="242"/>
    <w:bookmarkEnd w:id="243"/>
    <w:bookmarkEnd w:id="244"/>
    <w:bookmarkEnd w:id="245"/>
    <w:bookmarkEnd w:id="246"/>
    <w:p>
      <w:pPr>
        <w:pStyle w:val="4"/>
        <w:pageBreakBefore w:val="0"/>
        <w:widowControl w:val="0"/>
        <w:kinsoku/>
        <w:wordWrap w:val="0"/>
        <w:overflowPunct/>
        <w:topLinePunct w:val="0"/>
        <w:autoSpaceDE/>
        <w:autoSpaceDN/>
        <w:bidi w:val="0"/>
        <w:adjustRightInd/>
        <w:spacing w:line="460" w:lineRule="exact"/>
        <w:rPr>
          <w:rFonts w:hint="eastAsia" w:ascii="宋体" w:hAnsi="宋体" w:eastAsia="宋体" w:cs="宋体"/>
          <w:color w:val="000000"/>
          <w:sz w:val="24"/>
          <w:szCs w:val="24"/>
          <w:highlight w:val="none"/>
        </w:rPr>
      </w:pPr>
      <w:bookmarkStart w:id="247" w:name="_Toc222030991"/>
      <w:bookmarkStart w:id="248" w:name="_Toc168475689"/>
      <w:bookmarkStart w:id="249" w:name="_Toc221950226"/>
      <w:bookmarkStart w:id="250" w:name="_Toc144974542"/>
      <w:bookmarkStart w:id="251" w:name="_Toc229305349"/>
      <w:bookmarkStart w:id="252" w:name="_Toc670"/>
      <w:bookmarkStart w:id="253" w:name="_Toc168476092"/>
      <w:bookmarkStart w:id="254" w:name="_Toc222032658"/>
      <w:bookmarkStart w:id="255" w:name="_Toc222029489"/>
      <w:bookmarkStart w:id="256" w:name="_Toc222033840"/>
      <w:r>
        <w:rPr>
          <w:rFonts w:hint="eastAsia" w:cs="宋体"/>
          <w:color w:val="000000"/>
          <w:sz w:val="24"/>
          <w:szCs w:val="24"/>
          <w:highlight w:val="none"/>
          <w:lang w:val="en-US" w:eastAsia="zh-CN"/>
        </w:rPr>
        <w:t>8</w:t>
      </w:r>
      <w:r>
        <w:rPr>
          <w:rFonts w:hint="eastAsia" w:ascii="宋体" w:hAnsi="宋体" w:eastAsia="宋体" w:cs="宋体"/>
          <w:color w:val="000000"/>
          <w:sz w:val="24"/>
          <w:szCs w:val="24"/>
          <w:highlight w:val="none"/>
        </w:rPr>
        <w:t>. 纪律和监督</w:t>
      </w:r>
      <w:bookmarkEnd w:id="247"/>
      <w:bookmarkEnd w:id="248"/>
      <w:bookmarkEnd w:id="249"/>
      <w:bookmarkEnd w:id="250"/>
      <w:bookmarkEnd w:id="251"/>
      <w:bookmarkEnd w:id="252"/>
      <w:bookmarkEnd w:id="253"/>
      <w:bookmarkEnd w:id="254"/>
      <w:bookmarkEnd w:id="255"/>
      <w:bookmarkEnd w:id="256"/>
    </w:p>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bookmarkStart w:id="257" w:name="_Toc221950229"/>
      <w:r>
        <w:rPr>
          <w:rFonts w:hint="eastAsia" w:ascii="宋体" w:hAnsi="宋体" w:cs="宋体"/>
          <w:b/>
          <w:color w:val="000000"/>
          <w:sz w:val="24"/>
          <w:szCs w:val="24"/>
          <w:highlight w:val="none"/>
          <w:lang w:val="en-US" w:eastAsia="zh-CN"/>
        </w:rPr>
        <w:t>8</w:t>
      </w:r>
      <w:r>
        <w:rPr>
          <w:rFonts w:hint="eastAsia" w:ascii="宋体" w:hAnsi="宋体" w:eastAsia="宋体" w:cs="宋体"/>
          <w:b/>
          <w:color w:val="000000"/>
          <w:sz w:val="24"/>
          <w:szCs w:val="24"/>
          <w:highlight w:val="none"/>
        </w:rPr>
        <w:t>.1</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对招标人的纪律要求</w:t>
      </w:r>
    </w:p>
    <w:p>
      <w:pPr>
        <w:pageBreakBefore w:val="0"/>
        <w:widowControl w:val="0"/>
        <w:kinsoku/>
        <w:wordWrap w:val="0"/>
        <w:overflowPunct/>
        <w:topLinePunct w:val="0"/>
        <w:autoSpaceDE/>
        <w:autoSpaceDN/>
        <w:bidi w:val="0"/>
        <w:adjustRightInd/>
        <w:spacing w:line="460" w:lineRule="exact"/>
        <w:ind w:right="248"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招标人不得泄露招标投标活动中应当保密的情况和资料，不得与投标人串通损害国家利益、社会公共利益或者他人合法利益。</w:t>
      </w:r>
    </w:p>
    <w:bookmarkEnd w:id="257"/>
    <w:p>
      <w:pPr>
        <w:pageBreakBefore w:val="0"/>
        <w:widowControl w:val="0"/>
        <w:kinsoku/>
        <w:wordWrap w:val="0"/>
        <w:overflowPunct/>
        <w:topLinePunct w:val="0"/>
        <w:autoSpaceDE/>
        <w:autoSpaceDN/>
        <w:bidi w:val="0"/>
        <w:adjustRightInd/>
        <w:spacing w:line="460" w:lineRule="exact"/>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8</w:t>
      </w:r>
      <w:r>
        <w:rPr>
          <w:rFonts w:hint="eastAsia" w:ascii="宋体" w:hAnsi="宋体" w:eastAsia="宋体" w:cs="宋体"/>
          <w:b/>
          <w:color w:val="000000"/>
          <w:sz w:val="24"/>
          <w:szCs w:val="24"/>
          <w:highlight w:val="none"/>
        </w:rPr>
        <w:t>.2</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对投标人的纪律要求</w:t>
      </w:r>
    </w:p>
    <w:p>
      <w:pPr>
        <w:pageBreakBefore w:val="0"/>
        <w:widowControl w:val="0"/>
        <w:kinsoku/>
        <w:wordWrap w:val="0"/>
        <w:overflowPunct/>
        <w:topLinePunct w:val="0"/>
        <w:autoSpaceDE/>
        <w:autoSpaceDN/>
        <w:bidi w:val="0"/>
        <w:adjustRightInd/>
        <w:spacing w:line="460" w:lineRule="exact"/>
        <w:ind w:right="248"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投标人不得相互串通投标或者与招标人串通投标，不得向招标人或者评标委员会成员行贿谋取中标，不得以他人名义投标或者以其它方式弄虚作假骗取中标；投标人不得以任何方式干扰、影响评标工作。</w:t>
      </w:r>
    </w:p>
    <w:p>
      <w:pPr>
        <w:pageBreakBefore w:val="0"/>
        <w:widowControl w:val="0"/>
        <w:kinsoku/>
        <w:wordWrap w:val="0"/>
        <w:overflowPunct/>
        <w:topLinePunct w:val="0"/>
        <w:autoSpaceDE/>
        <w:autoSpaceDN/>
        <w:bidi w:val="0"/>
        <w:adjustRightInd/>
        <w:spacing w:line="460" w:lineRule="exact"/>
        <w:outlineLvl w:val="2"/>
        <w:rPr>
          <w:rFonts w:hint="eastAsia" w:ascii="宋体" w:hAnsi="宋体" w:eastAsia="宋体" w:cs="宋体"/>
          <w:b/>
          <w:color w:val="000000"/>
          <w:sz w:val="24"/>
          <w:szCs w:val="24"/>
          <w:highlight w:val="none"/>
        </w:rPr>
      </w:pPr>
      <w:bookmarkStart w:id="258" w:name="_Toc307415509"/>
      <w:bookmarkStart w:id="259" w:name="_Toc267472841"/>
      <w:bookmarkStart w:id="260" w:name="_Toc380069075"/>
      <w:bookmarkStart w:id="261" w:name="_Toc307417418"/>
      <w:bookmarkStart w:id="262" w:name="_Toc307416121"/>
      <w:bookmarkStart w:id="263" w:name="_Toc263677275"/>
      <w:bookmarkStart w:id="264" w:name="_Toc285028740"/>
      <w:bookmarkStart w:id="265" w:name="_Toc307485185"/>
      <w:r>
        <w:rPr>
          <w:rFonts w:hint="eastAsia" w:ascii="宋体" w:hAnsi="宋体" w:cs="宋体"/>
          <w:b/>
          <w:color w:val="000000"/>
          <w:sz w:val="24"/>
          <w:szCs w:val="24"/>
          <w:highlight w:val="none"/>
          <w:lang w:val="en-US" w:eastAsia="zh-CN"/>
        </w:rPr>
        <w:t>8</w:t>
      </w:r>
      <w:r>
        <w:rPr>
          <w:rFonts w:hint="eastAsia" w:ascii="宋体" w:hAnsi="宋体" w:eastAsia="宋体" w:cs="宋体"/>
          <w:b/>
          <w:color w:val="000000"/>
          <w:sz w:val="24"/>
          <w:szCs w:val="24"/>
          <w:highlight w:val="none"/>
        </w:rPr>
        <w:t>.3 对评标委员会成员的纪律要求</w:t>
      </w:r>
      <w:bookmarkEnd w:id="258"/>
      <w:bookmarkEnd w:id="259"/>
      <w:bookmarkEnd w:id="260"/>
      <w:bookmarkEnd w:id="261"/>
      <w:bookmarkEnd w:id="262"/>
      <w:bookmarkEnd w:id="263"/>
      <w:bookmarkEnd w:id="264"/>
      <w:bookmarkEnd w:id="265"/>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评标委员会成员不得收受他人的财物或者其他好处，不得向他人透漏对投标文件的评审和比较、中标候选人的推荐情况以及评标有关的其他情况。在评标活动中，评标委员会成员</w:t>
      </w:r>
      <w:r>
        <w:rPr>
          <w:rFonts w:hint="eastAsia" w:ascii="宋体" w:hAnsi="宋体" w:cs="宋体"/>
          <w:color w:val="000000"/>
          <w:sz w:val="24"/>
          <w:szCs w:val="24"/>
          <w:highlight w:val="none"/>
          <w:lang w:eastAsia="zh-CN"/>
        </w:rPr>
        <w:t>应客观、公正的履行职责，遵守职业道德，</w:t>
      </w:r>
      <w:r>
        <w:rPr>
          <w:rFonts w:hint="eastAsia" w:ascii="宋体" w:hAnsi="宋体" w:eastAsia="宋体" w:cs="宋体"/>
          <w:color w:val="000000"/>
          <w:sz w:val="24"/>
          <w:szCs w:val="24"/>
          <w:highlight w:val="none"/>
        </w:rPr>
        <w:t>不得擅离职守，影响评标程序正常进行，不得使用第三章“评标办法”没有规定的评审因素和标准进行评标。</w:t>
      </w:r>
    </w:p>
    <w:p>
      <w:pPr>
        <w:pageBreakBefore w:val="0"/>
        <w:widowControl w:val="0"/>
        <w:kinsoku/>
        <w:wordWrap w:val="0"/>
        <w:overflowPunct/>
        <w:topLinePunct w:val="0"/>
        <w:autoSpaceDE/>
        <w:autoSpaceDN/>
        <w:bidi w:val="0"/>
        <w:adjustRightInd/>
        <w:spacing w:line="460" w:lineRule="exact"/>
        <w:outlineLvl w:val="2"/>
        <w:rPr>
          <w:rFonts w:hint="eastAsia" w:ascii="宋体" w:hAnsi="宋体" w:eastAsia="宋体" w:cs="宋体"/>
          <w:b/>
          <w:color w:val="000000"/>
          <w:sz w:val="24"/>
          <w:szCs w:val="24"/>
          <w:highlight w:val="none"/>
        </w:rPr>
      </w:pPr>
      <w:bookmarkStart w:id="266" w:name="_Toc307416122"/>
      <w:bookmarkStart w:id="267" w:name="_Toc307485186"/>
      <w:bookmarkStart w:id="268" w:name="_Toc263677276"/>
      <w:bookmarkStart w:id="269" w:name="_Toc267472842"/>
      <w:bookmarkStart w:id="270" w:name="_Toc307415510"/>
      <w:bookmarkStart w:id="271" w:name="_Toc380069076"/>
      <w:bookmarkStart w:id="272" w:name="_Toc285028741"/>
      <w:bookmarkStart w:id="273" w:name="_Toc307417419"/>
      <w:r>
        <w:rPr>
          <w:rFonts w:hint="eastAsia" w:ascii="宋体" w:hAnsi="宋体" w:cs="宋体"/>
          <w:b/>
          <w:color w:val="000000"/>
          <w:sz w:val="24"/>
          <w:szCs w:val="24"/>
          <w:highlight w:val="none"/>
          <w:lang w:val="en-US" w:eastAsia="zh-CN"/>
        </w:rPr>
        <w:t>8</w:t>
      </w:r>
      <w:r>
        <w:rPr>
          <w:rFonts w:hint="eastAsia" w:ascii="宋体" w:hAnsi="宋体" w:eastAsia="宋体" w:cs="宋体"/>
          <w:b/>
          <w:color w:val="000000"/>
          <w:sz w:val="24"/>
          <w:szCs w:val="24"/>
          <w:highlight w:val="none"/>
        </w:rPr>
        <w:t>.4 对与评标活动有关的工作人员的纪律要求</w:t>
      </w:r>
      <w:bookmarkEnd w:id="266"/>
      <w:bookmarkEnd w:id="267"/>
      <w:bookmarkEnd w:id="268"/>
      <w:bookmarkEnd w:id="269"/>
      <w:bookmarkEnd w:id="270"/>
      <w:bookmarkEnd w:id="271"/>
      <w:bookmarkEnd w:id="272"/>
      <w:bookmarkEnd w:id="273"/>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ageBreakBefore w:val="0"/>
        <w:widowControl w:val="0"/>
        <w:kinsoku/>
        <w:wordWrap w:val="0"/>
        <w:overflowPunct/>
        <w:topLinePunct w:val="0"/>
        <w:autoSpaceDE/>
        <w:autoSpaceDN/>
        <w:bidi w:val="0"/>
        <w:adjustRightInd/>
        <w:spacing w:line="460" w:lineRule="exact"/>
        <w:outlineLvl w:val="2"/>
        <w:rPr>
          <w:rFonts w:hint="eastAsia" w:ascii="宋体" w:hAnsi="宋体" w:eastAsia="宋体" w:cs="宋体"/>
          <w:b/>
          <w:color w:val="000000"/>
          <w:sz w:val="24"/>
          <w:szCs w:val="24"/>
          <w:highlight w:val="none"/>
        </w:rPr>
      </w:pPr>
      <w:bookmarkStart w:id="274" w:name="_Toc380069077"/>
      <w:bookmarkStart w:id="275" w:name="_Toc285028742"/>
      <w:bookmarkStart w:id="276" w:name="_Toc307485187"/>
      <w:bookmarkStart w:id="277" w:name="_Toc263677277"/>
      <w:bookmarkStart w:id="278" w:name="_Toc267472843"/>
      <w:bookmarkStart w:id="279" w:name="_Toc307416123"/>
      <w:bookmarkStart w:id="280" w:name="_Toc307417420"/>
      <w:bookmarkStart w:id="281" w:name="_Toc307415511"/>
      <w:r>
        <w:rPr>
          <w:rFonts w:hint="eastAsia" w:ascii="宋体" w:hAnsi="宋体" w:cs="宋体"/>
          <w:b/>
          <w:color w:val="000000"/>
          <w:sz w:val="24"/>
          <w:szCs w:val="24"/>
          <w:highlight w:val="none"/>
          <w:lang w:val="en-US" w:eastAsia="zh-CN"/>
        </w:rPr>
        <w:t>8</w:t>
      </w:r>
      <w:r>
        <w:rPr>
          <w:rFonts w:hint="eastAsia" w:ascii="宋体" w:hAnsi="宋体" w:eastAsia="宋体" w:cs="宋体"/>
          <w:b/>
          <w:color w:val="000000"/>
          <w:sz w:val="24"/>
          <w:szCs w:val="24"/>
          <w:highlight w:val="none"/>
        </w:rPr>
        <w:t>.5 投诉</w:t>
      </w:r>
      <w:bookmarkEnd w:id="274"/>
      <w:bookmarkEnd w:id="275"/>
      <w:bookmarkEnd w:id="276"/>
      <w:bookmarkEnd w:id="277"/>
      <w:bookmarkEnd w:id="278"/>
      <w:bookmarkEnd w:id="279"/>
      <w:bookmarkEnd w:id="280"/>
      <w:bookmarkEnd w:id="281"/>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bookmarkStart w:id="282" w:name="_Toc17860"/>
      <w:r>
        <w:rPr>
          <w:rFonts w:hint="eastAsia" w:ascii="宋体" w:hAnsi="宋体" w:eastAsia="宋体" w:cs="宋体"/>
          <w:color w:val="000000"/>
          <w:sz w:val="24"/>
          <w:szCs w:val="24"/>
          <w:highlight w:val="none"/>
        </w:rPr>
        <w:t>8.5.1 投标人或其他利害关系人认为招标投标活动不符合法律、行政法规规定的，可以自知道或应当知道之日起10日内向有关行政监督部门投诉。投诉应有明确的请求和必要的证明材料。</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监督部门见投标人须知前附表。</w:t>
      </w:r>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8.5.2</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投标人或其他利害关系人对招标文件、开标和评标结果提出投诉的，应按照本章第2.4款、第5.3款</w:t>
      </w:r>
      <w:r>
        <w:rPr>
          <w:rFonts w:hint="eastAsia" w:ascii="宋体" w:hAnsi="宋体" w:cs="宋体"/>
          <w:color w:val="000000"/>
          <w:sz w:val="24"/>
          <w:szCs w:val="24"/>
          <w:highlight w:val="none"/>
          <w:lang w:eastAsia="zh-CN"/>
        </w:rPr>
        <w:t>和</w:t>
      </w:r>
      <w:r>
        <w:rPr>
          <w:rFonts w:hint="eastAsia" w:ascii="宋体" w:hAnsi="宋体" w:eastAsia="宋体" w:cs="宋体"/>
          <w:color w:val="000000"/>
          <w:sz w:val="24"/>
          <w:szCs w:val="24"/>
          <w:highlight w:val="none"/>
        </w:rPr>
        <w:t>第7.2款的规定先向招标人提出异议。</w:t>
      </w:r>
      <w:r>
        <w:rPr>
          <w:rFonts w:hint="eastAsia" w:ascii="宋体" w:hAnsi="宋体" w:cs="宋体"/>
          <w:color w:val="000000"/>
          <w:sz w:val="24"/>
          <w:szCs w:val="24"/>
          <w:highlight w:val="none"/>
          <w:lang w:eastAsia="zh-CN"/>
        </w:rPr>
        <w:t>异议答复期间不计算在第</w:t>
      </w:r>
      <w:r>
        <w:rPr>
          <w:rFonts w:hint="eastAsia" w:ascii="宋体" w:hAnsi="宋体" w:cs="宋体"/>
          <w:color w:val="000000"/>
          <w:sz w:val="24"/>
          <w:szCs w:val="24"/>
          <w:highlight w:val="none"/>
          <w:lang w:val="en-US" w:eastAsia="zh-CN"/>
        </w:rPr>
        <w:t>8.5.1项规定的期限。</w:t>
      </w:r>
    </w:p>
    <w:p>
      <w:pPr>
        <w:pageBreakBefore w:val="0"/>
        <w:widowControl w:val="0"/>
        <w:kinsoku/>
        <w:wordWrap w:val="0"/>
        <w:overflowPunct/>
        <w:topLinePunct w:val="0"/>
        <w:autoSpaceDE/>
        <w:autoSpaceDN/>
        <w:bidi w:val="0"/>
        <w:adjustRightInd/>
        <w:spacing w:line="460" w:lineRule="exact"/>
        <w:outlineLvl w:val="2"/>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9.是否采用电子招标投标</w:t>
      </w:r>
    </w:p>
    <w:p>
      <w:pPr>
        <w:pageBreakBefore w:val="0"/>
        <w:widowControl w:val="0"/>
        <w:kinsoku/>
        <w:wordWrap w:val="0"/>
        <w:overflowPunct/>
        <w:topLinePunct w:val="0"/>
        <w:autoSpaceDE/>
        <w:autoSpaceDN/>
        <w:bidi w:val="0"/>
        <w:adjustRightInd/>
        <w:spacing w:line="46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本招标项目</w:t>
      </w:r>
      <w:r>
        <w:rPr>
          <w:rFonts w:hint="default" w:ascii="宋体" w:hAnsi="宋体" w:eastAsia="宋体" w:cs="宋体"/>
          <w:color w:val="000000"/>
          <w:sz w:val="24"/>
          <w:szCs w:val="24"/>
          <w:highlight w:val="none"/>
          <w:lang w:val="en-US" w:eastAsia="zh-CN"/>
        </w:rPr>
        <w:t>是否采用电子招标投标</w:t>
      </w:r>
      <w:r>
        <w:rPr>
          <w:rFonts w:hint="eastAsia" w:ascii="宋体" w:hAnsi="宋体" w:eastAsia="宋体" w:cs="宋体"/>
          <w:color w:val="000000"/>
          <w:sz w:val="24"/>
          <w:szCs w:val="24"/>
          <w:highlight w:val="none"/>
          <w:lang w:val="en-US" w:eastAsia="zh-CN"/>
        </w:rPr>
        <w:t>方式，见投标人须知前附表。</w:t>
      </w:r>
    </w:p>
    <w:p>
      <w:pPr>
        <w:pStyle w:val="4"/>
        <w:pageBreakBefore w:val="0"/>
        <w:widowControl w:val="0"/>
        <w:kinsoku/>
        <w:wordWrap w:val="0"/>
        <w:overflowPunct/>
        <w:topLinePunct w:val="0"/>
        <w:autoSpaceDE/>
        <w:autoSpaceDN/>
        <w:bidi w:val="0"/>
        <w:adjustRightInd/>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r>
        <w:rPr>
          <w:rFonts w:hint="eastAsia"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需要补充的其他内容</w:t>
      </w:r>
      <w:bookmarkEnd w:id="282"/>
    </w:p>
    <w:p>
      <w:pPr>
        <w:pageBreakBefore w:val="0"/>
        <w:widowControl w:val="0"/>
        <w:kinsoku/>
        <w:wordWrap w:val="0"/>
        <w:overflowPunct/>
        <w:topLinePunct w:val="0"/>
        <w:autoSpaceDE/>
        <w:autoSpaceDN/>
        <w:bidi w:val="0"/>
        <w:adjustRightInd/>
        <w:spacing w:line="4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自购买招标文件之日起，投标人应保证其提供的联系方式</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电话、传真、电子邮件）</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lang w:val="en-US" w:eastAsia="zh-CN"/>
        </w:rPr>
        <w:t>直有效，以便及时收到招标人发出的函件（招标文件的澄清、修改等），并应及时向招标人反馈信息，否则招标人不承担由此引起的一切后果。</w:t>
      </w:r>
    </w:p>
    <w:p>
      <w:pPr>
        <w:pageBreakBefore w:val="0"/>
        <w:widowControl w:val="0"/>
        <w:kinsoku/>
        <w:wordWrap w:val="0"/>
        <w:overflowPunct/>
        <w:topLinePunct w:val="0"/>
        <w:autoSpaceDE/>
        <w:autoSpaceDN/>
        <w:bidi w:val="0"/>
        <w:adjustRightInd/>
        <w:spacing w:line="460" w:lineRule="exact"/>
        <w:ind w:firstLine="480" w:firstLineChars="200"/>
        <w:rPr>
          <w:rFonts w:hint="eastAsia" w:asciiTheme="minorEastAsia" w:hAnsiTheme="minorEastAsia" w:eastAsiaTheme="minorEastAsia" w:cstheme="minorEastAsia"/>
          <w:b/>
          <w:bCs/>
          <w:color w:val="auto"/>
          <w:sz w:val="24"/>
          <w:szCs w:val="24"/>
          <w:lang w:eastAsia="zh-CN"/>
        </w:rPr>
      </w:pPr>
      <w:r>
        <w:rPr>
          <w:rFonts w:hint="eastAsia" w:ascii="宋体" w:hAnsi="宋体" w:eastAsia="宋体" w:cs="宋体"/>
          <w:color w:val="000000"/>
          <w:sz w:val="24"/>
          <w:szCs w:val="24"/>
          <w:highlight w:val="none"/>
          <w:lang w:val="en-US" w:eastAsia="zh-CN"/>
        </w:rPr>
        <w:t>需要补充的其他内容</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见投标人须知前附表。</w:t>
      </w: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四、评标办法</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本次招标</w:t>
      </w:r>
      <w:r>
        <w:rPr>
          <w:rFonts w:hint="eastAsia" w:asciiTheme="minorEastAsia" w:hAnsiTheme="minorEastAsia" w:eastAsiaTheme="minorEastAsia" w:cstheme="minorEastAsia"/>
          <w:color w:val="auto"/>
          <w:sz w:val="24"/>
          <w:szCs w:val="24"/>
        </w:rPr>
        <w:t>采用资格后审，不接受联合体投标，评标办法采用双信封技术评分最低标价法，评标办法如下：</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技术标评审方式为</w:t>
      </w:r>
      <w:r>
        <w:rPr>
          <w:rFonts w:hint="eastAsia" w:asciiTheme="minorEastAsia" w:hAnsiTheme="minorEastAsia" w:eastAsiaTheme="minorEastAsia" w:cstheme="minorEastAsia"/>
          <w:color w:val="auto"/>
          <w:sz w:val="24"/>
          <w:szCs w:val="24"/>
          <w:u w:val="none"/>
          <w:lang w:eastAsia="zh-CN"/>
        </w:rPr>
        <w:t>暗标</w:t>
      </w:r>
      <w:r>
        <w:rPr>
          <w:rFonts w:hint="eastAsia" w:asciiTheme="minorEastAsia" w:hAnsiTheme="minorEastAsia" w:eastAsiaTheme="minorEastAsia" w:cstheme="minorEastAsia"/>
          <w:color w:val="auto"/>
          <w:sz w:val="24"/>
          <w:szCs w:val="24"/>
          <w:lang w:eastAsia="zh-CN"/>
        </w:rPr>
        <w:t>评审，评审步骤评分采用</w:t>
      </w:r>
      <w:r>
        <w:rPr>
          <w:rFonts w:hint="eastAsia" w:asciiTheme="minorEastAsia" w:hAnsiTheme="minorEastAsia" w:eastAsiaTheme="minorEastAsia" w:cstheme="minorEastAsia"/>
          <w:color w:val="auto"/>
          <w:sz w:val="24"/>
          <w:szCs w:val="24"/>
          <w:u w:val="none"/>
          <w:lang w:eastAsia="zh-CN"/>
        </w:rPr>
        <w:t>分值</w:t>
      </w:r>
      <w:r>
        <w:rPr>
          <w:rFonts w:hint="eastAsia" w:asciiTheme="minorEastAsia" w:hAnsiTheme="minorEastAsia" w:eastAsiaTheme="minorEastAsia" w:cstheme="minorEastAsia"/>
          <w:color w:val="auto"/>
          <w:sz w:val="24"/>
          <w:szCs w:val="24"/>
          <w:lang w:eastAsia="zh-CN"/>
        </w:rPr>
        <w:t>评分。</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通过第一个信封详细评审的投标人数量：按照投标人的商务和技术得分由高到低排序，选择前</w:t>
      </w:r>
      <w:r>
        <w:rPr>
          <w:rFonts w:hint="eastAsia" w:asciiTheme="minorEastAsia" w:hAnsiTheme="minorEastAsia" w:eastAsiaTheme="minorEastAsia" w:cstheme="minorEastAsia"/>
          <w:color w:val="auto"/>
          <w:sz w:val="24"/>
          <w:szCs w:val="24"/>
          <w:u w:val="none"/>
          <w:lang w:val="en-US" w:eastAsia="zh-CN"/>
        </w:rPr>
        <w:t>5</w:t>
      </w:r>
      <w:r>
        <w:rPr>
          <w:rFonts w:hint="eastAsia" w:asciiTheme="minorEastAsia" w:hAnsiTheme="minorEastAsia" w:eastAsiaTheme="minorEastAsia" w:cstheme="minorEastAsia"/>
          <w:color w:val="auto"/>
          <w:sz w:val="24"/>
          <w:szCs w:val="24"/>
          <w:lang w:eastAsia="zh-CN"/>
        </w:rPr>
        <w:t>名通过详细评审。</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评审步骤分值构成：施工组织设计</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lang w:eastAsia="zh-CN"/>
        </w:rPr>
        <w:t>分、主要人员</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lang w:eastAsia="zh-CN"/>
        </w:rPr>
        <w:t>分、技术能力</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eastAsia="zh-CN"/>
        </w:rPr>
        <w:t>分、履约信誉</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lang w:eastAsia="zh-CN"/>
        </w:rPr>
        <w:t>分、企业业绩</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eastAsia="zh-CN"/>
        </w:rPr>
        <w:t>分</w:t>
      </w:r>
      <w:r>
        <w:rPr>
          <w:rFonts w:hint="eastAsia" w:asciiTheme="minorEastAsia" w:hAnsiTheme="minorEastAsia" w:eastAsiaTheme="minorEastAsia" w:cstheme="minorEastAsia"/>
          <w:color w:val="auto"/>
          <w:sz w:val="24"/>
          <w:szCs w:val="24"/>
          <w:lang w:val="en-US" w:eastAsia="zh-CN"/>
        </w:rPr>
        <w:t>。</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第一个信封评审步骤：形式评审与响应性评审、资格评审、施工组织设计、主要人员、技术能力、履约信誉、企业业绩。</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）形式评审与响应性评审</w:t>
      </w:r>
    </w:p>
    <w:tbl>
      <w:tblPr>
        <w:tblStyle w:val="20"/>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039"/>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9"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序号</w:t>
            </w:r>
          </w:p>
        </w:tc>
        <w:tc>
          <w:tcPr>
            <w:tcW w:w="2039"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评审因素</w:t>
            </w:r>
          </w:p>
        </w:tc>
        <w:tc>
          <w:tcPr>
            <w:tcW w:w="6863"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内容格式</w:t>
            </w:r>
          </w:p>
        </w:tc>
        <w:tc>
          <w:tcPr>
            <w:tcW w:w="68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rPr>
              <w:t>投标文件按照招标文件规定的格式、内容填写，字迹清晰可辨：a.投标函按招标文件规定填报了项目名称、补遗书编号（如有）</w:t>
            </w:r>
            <w:r>
              <w:rPr>
                <w:rFonts w:hint="eastAsia" w:asciiTheme="minorEastAsia" w:hAnsiTheme="minorEastAsia" w:eastAsiaTheme="minorEastAsia" w:cstheme="minorEastAsia"/>
                <w:sz w:val="24"/>
                <w:szCs w:val="24"/>
                <w:lang w:eastAsia="zh-CN"/>
              </w:rPr>
              <w:t>、工程质量</w:t>
            </w:r>
            <w:r>
              <w:rPr>
                <w:rFonts w:hint="eastAsia" w:asciiTheme="minorEastAsia" w:hAnsiTheme="minorEastAsia" w:eastAsiaTheme="minorEastAsia" w:cstheme="minorEastAsia"/>
                <w:sz w:val="24"/>
                <w:szCs w:val="24"/>
              </w:rPr>
              <w:t>、安全目标及工期；b.投标函附录的所有数据均符合招标文件规定；c.投标文件组成齐全完整，内容均按规定填写。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投标文件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签字盖章</w:t>
            </w:r>
          </w:p>
        </w:tc>
        <w:tc>
          <w:tcPr>
            <w:tcW w:w="68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投标文件上法定代表人或其授权代理人的签字、投标人的单位章盖章齐全，符合招标文件规定。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投标保证金</w:t>
            </w:r>
          </w:p>
        </w:tc>
        <w:tc>
          <w:tcPr>
            <w:tcW w:w="68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投标人按照招标文件的规定提供了投标保证金：a.投标保证金金额符合招标文件规定的金额，且投标保证金有效期不少于投标有效期；b.若投标保证金银行转账形式提交，投标人应在递交投标文件截止时间之前，将投标保证金由投标人的基本账户转入招标人指定账户；c.若投标保证金采用</w:t>
            </w:r>
            <w:r>
              <w:rPr>
                <w:rFonts w:hint="eastAsia" w:asciiTheme="minorEastAsia" w:hAnsiTheme="minorEastAsia" w:eastAsiaTheme="minorEastAsia" w:cstheme="minorEastAsia"/>
                <w:sz w:val="24"/>
                <w:szCs w:val="24"/>
                <w:lang w:val="en-US" w:eastAsia="zh-CN"/>
              </w:rPr>
              <w:t>银行保函</w:t>
            </w:r>
            <w:r>
              <w:rPr>
                <w:rFonts w:hint="eastAsia" w:asciiTheme="minorEastAsia" w:hAnsiTheme="minorEastAsia" w:eastAsiaTheme="minorEastAsia" w:cstheme="minorEastAsia"/>
                <w:sz w:val="24"/>
                <w:szCs w:val="24"/>
                <w:lang w:eastAsia="zh-CN"/>
              </w:rPr>
              <w:t>或信用担保形式提交，保函满足招标文件要求，且在递交投标文件截止时间之前向招标人提交了保函原件。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授权委托书</w:t>
            </w:r>
          </w:p>
        </w:tc>
        <w:tc>
          <w:tcPr>
            <w:tcW w:w="686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投标人法定代表人授权委托代理人签署投标文件的，需提交授权委托书，且授权人和被授权人均在授权委托书上签名。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身份证明</w:t>
            </w:r>
          </w:p>
        </w:tc>
        <w:tc>
          <w:tcPr>
            <w:tcW w:w="686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投标人法定代表人亲自签署投标文件的，提供了法定代表人身份证明，且法定代表人在法定代表人身份证明上签名。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分包</w:t>
            </w:r>
          </w:p>
        </w:tc>
        <w:tc>
          <w:tcPr>
            <w:tcW w:w="68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lang w:eastAsia="zh-CN"/>
              </w:rPr>
              <w:t>未进行分包</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多个投标文件</w:t>
            </w:r>
          </w:p>
        </w:tc>
        <w:tc>
          <w:tcPr>
            <w:tcW w:w="68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同一投标人未提交两个以上不同的投标文件，但招标文件要求提交备选投标的除外。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投标报价</w:t>
            </w:r>
          </w:p>
        </w:tc>
        <w:tc>
          <w:tcPr>
            <w:tcW w:w="68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投标文件中未出现有关投标报价的内容。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项目完成期限</w:t>
            </w:r>
          </w:p>
        </w:tc>
        <w:tc>
          <w:tcPr>
            <w:tcW w:w="68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eastAsia="zh-CN"/>
              </w:rPr>
              <w:t>投标文件载明的招标项目完成期限未超过招标文件规定的时限。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实质性</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要求和条件</w:t>
            </w:r>
          </w:p>
        </w:tc>
        <w:tc>
          <w:tcPr>
            <w:tcW w:w="68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投标文件对招标文件实质性要求和条件作出响应。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权利义务</w:t>
            </w:r>
          </w:p>
        </w:tc>
        <w:tc>
          <w:tcPr>
            <w:tcW w:w="68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szCs w:val="24"/>
                <w:lang w:eastAsia="zh-CN"/>
              </w:rPr>
              <w:t>权利义务符合招标文件规定：a</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投标人应接受招标文件规定的风险划分原则，未提出新的风险划分办法；b.投标人未增加发包人的责任范围，或减少投标人义务；c.投标人未提出不同的工程验收、计量、支付办法；d.投标人对合同纠纷、事故处理办法未提出异议；</w:t>
            </w:r>
            <w:r>
              <w:rPr>
                <w:rFonts w:hint="eastAsia" w:asciiTheme="minorEastAsia" w:hAnsiTheme="minorEastAsia" w:eastAsiaTheme="minorEastAsia" w:cstheme="minorEastAsia"/>
                <w:sz w:val="24"/>
                <w:szCs w:val="24"/>
                <w:lang w:val="en-US" w:eastAsia="zh-CN"/>
              </w:rPr>
              <w:t>e.</w:t>
            </w:r>
            <w:r>
              <w:rPr>
                <w:rFonts w:hint="eastAsia" w:asciiTheme="minorEastAsia" w:hAnsiTheme="minorEastAsia" w:eastAsiaTheme="minorEastAsia" w:cstheme="minorEastAsia"/>
                <w:sz w:val="24"/>
                <w:szCs w:val="24"/>
                <w:lang w:eastAsia="zh-CN"/>
              </w:rPr>
              <w:t>投标人在投标活动中无欺诈行为；f.投标人未对合同条款有重要保留。</w:t>
            </w:r>
          </w:p>
        </w:tc>
      </w:tr>
    </w:tbl>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sz w:val="24"/>
          <w:szCs w:val="24"/>
          <w:lang w:eastAsia="zh-CN"/>
        </w:rPr>
      </w:pP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）资格评审</w:t>
      </w:r>
    </w:p>
    <w:tbl>
      <w:tblPr>
        <w:tblStyle w:val="20"/>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021"/>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证照要求</w:t>
            </w:r>
          </w:p>
        </w:tc>
        <w:tc>
          <w:tcPr>
            <w:tcW w:w="69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投标人具备有效的营业执照、资质证书、安全生产许可证、</w:t>
            </w:r>
            <w:r>
              <w:rPr>
                <w:rFonts w:hint="eastAsia" w:asciiTheme="minorEastAsia" w:hAnsiTheme="minorEastAsia" w:eastAsiaTheme="minorEastAsia" w:cstheme="minorEastAsia"/>
                <w:sz w:val="24"/>
                <w:szCs w:val="24"/>
                <w:lang w:val="en-US" w:eastAsia="zh-CN"/>
              </w:rPr>
              <w:t>基本存款账户开户许可证或基本存款账户信息。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资质</w:t>
            </w:r>
            <w:r>
              <w:rPr>
                <w:rFonts w:hint="eastAsia" w:asciiTheme="minorEastAsia" w:hAnsiTheme="minorEastAsia" w:eastAsiaTheme="minorEastAsia" w:cstheme="minorEastAsia"/>
                <w:sz w:val="24"/>
                <w:szCs w:val="24"/>
                <w:lang w:eastAsia="zh-CN"/>
              </w:rPr>
              <w:t>要求</w:t>
            </w:r>
          </w:p>
        </w:tc>
        <w:tc>
          <w:tcPr>
            <w:tcW w:w="69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投标人的资质符合招标文件规定。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财务状况</w:t>
            </w:r>
          </w:p>
        </w:tc>
        <w:tc>
          <w:tcPr>
            <w:tcW w:w="69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投标人的财务状况符合招标文件规定。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类似项目业绩</w:t>
            </w:r>
          </w:p>
        </w:tc>
        <w:tc>
          <w:tcPr>
            <w:tcW w:w="69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投标人的类似项目业绩符合招标文件规定。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信誉</w:t>
            </w:r>
          </w:p>
        </w:tc>
        <w:tc>
          <w:tcPr>
            <w:tcW w:w="69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投标人的信誉符合招标文件规定。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和项目总工</w:t>
            </w:r>
          </w:p>
        </w:tc>
        <w:tc>
          <w:tcPr>
            <w:tcW w:w="69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投标人的项目经理和项目总工资格、在岗情况符合招标文件规定</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非</w:t>
            </w:r>
            <w:r>
              <w:rPr>
                <w:rFonts w:hint="eastAsia" w:asciiTheme="minorEastAsia" w:hAnsiTheme="minorEastAsia" w:eastAsiaTheme="minorEastAsia" w:cstheme="minorEastAsia"/>
                <w:sz w:val="24"/>
                <w:szCs w:val="24"/>
                <w:lang w:eastAsia="zh-CN"/>
              </w:rPr>
              <w:t>联合体投标</w:t>
            </w:r>
          </w:p>
        </w:tc>
        <w:tc>
          <w:tcPr>
            <w:tcW w:w="69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投标人关联情形和信用情况</w:t>
            </w:r>
          </w:p>
        </w:tc>
        <w:tc>
          <w:tcPr>
            <w:tcW w:w="69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02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其他要求</w:t>
            </w:r>
          </w:p>
        </w:tc>
        <w:tc>
          <w:tcPr>
            <w:tcW w:w="692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符合招标文件规定。</w:t>
            </w:r>
          </w:p>
        </w:tc>
      </w:tr>
    </w:tbl>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（3）施工组织设计</w:t>
      </w:r>
    </w:p>
    <w:tbl>
      <w:tblPr>
        <w:tblStyle w:val="20"/>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29"/>
        <w:gridCol w:w="4450"/>
        <w:gridCol w:w="950"/>
        <w:gridCol w:w="927"/>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评审因素</w:t>
            </w:r>
          </w:p>
        </w:tc>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评审标准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分值（分）</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权重（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总体施工组织布置及规划</w:t>
            </w:r>
          </w:p>
        </w:tc>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eastAsia="zh-CN"/>
              </w:rPr>
              <w:t>总体施工组织布置及规划满足工程基本要求，得</w:t>
            </w:r>
            <w:r>
              <w:rPr>
                <w:rFonts w:hint="eastAsia" w:ascii="宋体" w:hAnsi="宋体" w:cs="宋体"/>
                <w:sz w:val="24"/>
                <w:szCs w:val="24"/>
                <w:lang w:val="en-US" w:eastAsia="zh-CN"/>
              </w:rPr>
              <w:t>4.8</w:t>
            </w:r>
            <w:r>
              <w:rPr>
                <w:rFonts w:hint="eastAsia" w:ascii="宋体" w:hAnsi="宋体" w:eastAsia="宋体" w:cs="宋体"/>
                <w:sz w:val="24"/>
                <w:szCs w:val="24"/>
                <w:lang w:eastAsia="zh-CN"/>
              </w:rPr>
              <w:t>分；切实可行且科学合理的，酌情加分</w:t>
            </w:r>
            <w:r>
              <w:rPr>
                <w:rFonts w:hint="eastAsia" w:ascii="宋体" w:hAnsi="宋体" w:cs="宋体"/>
                <w:sz w:val="24"/>
                <w:szCs w:val="24"/>
                <w:lang w:eastAsia="zh-CN"/>
              </w:rPr>
              <w:t>。</w:t>
            </w:r>
            <w:r>
              <w:rPr>
                <w:rFonts w:hint="eastAsia" w:ascii="宋体" w:hAnsi="宋体" w:eastAsia="宋体" w:cs="宋体"/>
                <w:sz w:val="24"/>
                <w:szCs w:val="24"/>
                <w:lang w:eastAsia="zh-CN"/>
              </w:rPr>
              <w:t>本项最高得</w:t>
            </w:r>
            <w:r>
              <w:rPr>
                <w:rFonts w:hint="eastAsia" w:ascii="宋体" w:hAnsi="宋体" w:cs="宋体"/>
                <w:sz w:val="24"/>
                <w:szCs w:val="24"/>
                <w:lang w:val="en-US" w:eastAsia="zh-CN"/>
              </w:rPr>
              <w:t>8</w:t>
            </w:r>
            <w:r>
              <w:rPr>
                <w:rFonts w:hint="eastAsia" w:ascii="宋体" w:hAnsi="宋体" w:eastAsia="宋体" w:cs="宋体"/>
                <w:sz w:val="24"/>
                <w:szCs w:val="24"/>
                <w:lang w:eastAsia="zh-CN"/>
              </w:rPr>
              <w:t>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8</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主要工程项目的施工方案、方法和技术措施</w:t>
            </w:r>
          </w:p>
        </w:tc>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eastAsia="zh-CN"/>
              </w:rPr>
              <w:t>主要工程项目的施工方案、方法和技术措施满足工程基本要求，得</w:t>
            </w:r>
            <w:r>
              <w:rPr>
                <w:rFonts w:hint="eastAsia" w:ascii="宋体" w:hAnsi="宋体" w:cs="宋体"/>
                <w:sz w:val="24"/>
                <w:szCs w:val="24"/>
                <w:lang w:val="en-US" w:eastAsia="zh-CN"/>
              </w:rPr>
              <w:t>6</w:t>
            </w:r>
            <w:r>
              <w:rPr>
                <w:rFonts w:hint="eastAsia" w:ascii="宋体" w:hAnsi="宋体" w:eastAsia="宋体" w:cs="宋体"/>
                <w:sz w:val="24"/>
                <w:szCs w:val="24"/>
                <w:lang w:eastAsia="zh-CN"/>
              </w:rPr>
              <w:t>分</w:t>
            </w:r>
            <w:r>
              <w:rPr>
                <w:rFonts w:hint="eastAsia" w:ascii="宋体" w:hAnsi="宋体" w:cs="宋体"/>
                <w:sz w:val="24"/>
                <w:szCs w:val="24"/>
                <w:lang w:eastAsia="zh-CN"/>
              </w:rPr>
              <w:t>；</w:t>
            </w:r>
            <w:r>
              <w:rPr>
                <w:rFonts w:hint="eastAsia" w:ascii="宋体" w:hAnsi="宋体" w:eastAsia="宋体" w:cs="宋体"/>
                <w:sz w:val="24"/>
                <w:szCs w:val="24"/>
                <w:lang w:eastAsia="zh-CN"/>
              </w:rPr>
              <w:t>切实可行且科学合理的，酌情加分</w:t>
            </w:r>
            <w:r>
              <w:rPr>
                <w:rFonts w:hint="eastAsia" w:ascii="宋体" w:hAnsi="宋体" w:cs="宋体"/>
                <w:sz w:val="24"/>
                <w:szCs w:val="24"/>
                <w:lang w:eastAsia="zh-CN"/>
              </w:rPr>
              <w:t>。</w:t>
            </w:r>
            <w:r>
              <w:rPr>
                <w:rFonts w:hint="eastAsia" w:ascii="宋体" w:hAnsi="宋体" w:eastAsia="宋体" w:cs="宋体"/>
                <w:sz w:val="24"/>
                <w:szCs w:val="24"/>
                <w:lang w:eastAsia="zh-CN"/>
              </w:rPr>
              <w:t>本项最高得</w:t>
            </w:r>
            <w:r>
              <w:rPr>
                <w:rFonts w:hint="eastAsia" w:ascii="宋体" w:hAnsi="宋体" w:cs="宋体"/>
                <w:sz w:val="24"/>
                <w:szCs w:val="24"/>
                <w:lang w:val="en-US" w:eastAsia="zh-CN"/>
              </w:rPr>
              <w:t>10</w:t>
            </w:r>
            <w:r>
              <w:rPr>
                <w:rFonts w:hint="eastAsia" w:ascii="宋体" w:hAnsi="宋体" w:eastAsia="宋体" w:cs="宋体"/>
                <w:sz w:val="24"/>
                <w:szCs w:val="24"/>
                <w:lang w:eastAsia="zh-CN"/>
              </w:rPr>
              <w:t>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10</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629" w:type="dxa"/>
            <w:noWrap w:val="0"/>
            <w:vAlign w:val="center"/>
          </w:tcPr>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宋体" w:hAnsi="宋体" w:cs="宋体"/>
                <w:sz w:val="24"/>
              </w:rPr>
              <w:t>农民工保障措施</w:t>
            </w:r>
          </w:p>
        </w:tc>
        <w:tc>
          <w:tcPr>
            <w:tcW w:w="4450" w:type="dxa"/>
            <w:noWrap w:val="0"/>
            <w:vAlign w:val="center"/>
          </w:tcPr>
          <w:p>
            <w:pPr>
              <w:pageBreakBefore w:val="0"/>
              <w:widowControl w:val="0"/>
              <w:kinsoku/>
              <w:overflowPunct/>
              <w:topLinePunct w:val="0"/>
              <w:autoSpaceDE/>
              <w:autoSpaceDN/>
              <w:bidi w:val="0"/>
              <w:adjustRightIn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rPr>
              <w:t>农民工保障措施满足</w:t>
            </w:r>
            <w:r>
              <w:rPr>
                <w:rFonts w:hint="eastAsia" w:ascii="宋体" w:hAnsi="宋体" w:cs="宋体"/>
                <w:sz w:val="24"/>
                <w:lang w:eastAsia="zh-CN"/>
              </w:rPr>
              <w:t>工程</w:t>
            </w:r>
            <w:r>
              <w:rPr>
                <w:rFonts w:hint="eastAsia" w:ascii="宋体" w:hAnsi="宋体" w:cs="宋体"/>
                <w:sz w:val="24"/>
              </w:rPr>
              <w:t>基本要求</w:t>
            </w:r>
            <w:r>
              <w:rPr>
                <w:rFonts w:hint="eastAsia" w:ascii="宋体" w:hAnsi="宋体" w:cs="宋体"/>
                <w:sz w:val="24"/>
                <w:lang w:eastAsia="zh-CN"/>
              </w:rPr>
              <w:t>，</w:t>
            </w:r>
            <w:r>
              <w:rPr>
                <w:rFonts w:hint="eastAsia" w:ascii="宋体" w:hAnsi="宋体" w:cs="宋体"/>
                <w:sz w:val="24"/>
              </w:rPr>
              <w:t>得1.</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切实可行且科学合理的，酌情加分。</w:t>
            </w:r>
            <w:r>
              <w:rPr>
                <w:rFonts w:hint="eastAsia" w:ascii="宋体" w:hAnsi="宋体" w:cs="宋体"/>
                <w:sz w:val="24"/>
              </w:rPr>
              <w:t>本项最高</w:t>
            </w:r>
            <w:r>
              <w:rPr>
                <w:rFonts w:hint="eastAsia" w:ascii="宋体" w:hAnsi="宋体" w:cs="宋体"/>
                <w:sz w:val="24"/>
                <w:lang w:eastAsia="zh-CN"/>
              </w:rPr>
              <w:t>得</w:t>
            </w:r>
            <w:r>
              <w:rPr>
                <w:rFonts w:hint="eastAsia" w:ascii="宋体" w:hAnsi="宋体" w:cs="宋体"/>
                <w:sz w:val="24"/>
                <w:lang w:val="en-US" w:eastAsia="zh-CN"/>
              </w:rPr>
              <w:t>2</w:t>
            </w:r>
            <w:r>
              <w:rPr>
                <w:rFonts w:hint="eastAsia" w:ascii="宋体" w:hAnsi="宋体" w:cs="宋体"/>
                <w:sz w:val="24"/>
              </w:rPr>
              <w:t>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2</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629" w:type="dxa"/>
            <w:noWrap w:val="0"/>
            <w:vAlign w:val="center"/>
          </w:tcPr>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宋体" w:hAnsi="宋体" w:cs="宋体"/>
                <w:sz w:val="24"/>
              </w:rPr>
              <w:t>工程质量、工期保证体系及保证措施</w:t>
            </w:r>
          </w:p>
        </w:tc>
        <w:tc>
          <w:tcPr>
            <w:tcW w:w="4450" w:type="dxa"/>
            <w:noWrap w:val="0"/>
            <w:vAlign w:val="center"/>
          </w:tcPr>
          <w:p>
            <w:pPr>
              <w:pageBreakBefore w:val="0"/>
              <w:widowControl w:val="0"/>
              <w:kinsoku/>
              <w:overflowPunct/>
              <w:topLinePunct w:val="0"/>
              <w:autoSpaceDE/>
              <w:autoSpaceDN/>
              <w:bidi w:val="0"/>
              <w:adjustRightIn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rPr>
              <w:t>工程质量、工期保证体系及保证措施满足</w:t>
            </w:r>
            <w:r>
              <w:rPr>
                <w:rFonts w:hint="eastAsia" w:ascii="宋体" w:hAnsi="宋体" w:cs="宋体"/>
                <w:sz w:val="24"/>
                <w:lang w:eastAsia="zh-CN"/>
              </w:rPr>
              <w:t>工程</w:t>
            </w:r>
            <w:r>
              <w:rPr>
                <w:rFonts w:hint="eastAsia" w:ascii="宋体" w:hAnsi="宋体" w:cs="宋体"/>
                <w:sz w:val="24"/>
              </w:rPr>
              <w:t>基本要求</w:t>
            </w:r>
            <w:r>
              <w:rPr>
                <w:rFonts w:hint="eastAsia" w:ascii="宋体" w:hAnsi="宋体" w:cs="宋体"/>
                <w:sz w:val="24"/>
                <w:lang w:eastAsia="zh-CN"/>
              </w:rPr>
              <w:t>，</w:t>
            </w:r>
            <w:r>
              <w:rPr>
                <w:rFonts w:hint="eastAsia" w:ascii="宋体" w:hAnsi="宋体" w:cs="宋体"/>
                <w:sz w:val="24"/>
              </w:rPr>
              <w:t>得1.</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切实可行且科学合理的，酌情加分。</w:t>
            </w:r>
            <w:r>
              <w:rPr>
                <w:rFonts w:hint="eastAsia" w:ascii="宋体" w:hAnsi="宋体" w:cs="宋体"/>
                <w:sz w:val="24"/>
              </w:rPr>
              <w:t>本项最高</w:t>
            </w:r>
            <w:r>
              <w:rPr>
                <w:rFonts w:hint="eastAsia" w:ascii="宋体" w:hAnsi="宋体" w:cs="宋体"/>
                <w:sz w:val="24"/>
                <w:lang w:eastAsia="zh-CN"/>
              </w:rPr>
              <w:t>得</w:t>
            </w:r>
            <w:r>
              <w:rPr>
                <w:rFonts w:hint="eastAsia" w:ascii="宋体" w:hAnsi="宋体" w:cs="宋体"/>
                <w:sz w:val="24"/>
                <w:lang w:val="en-US" w:eastAsia="zh-CN"/>
              </w:rPr>
              <w:t>2</w:t>
            </w:r>
            <w:r>
              <w:rPr>
                <w:rFonts w:hint="eastAsia" w:ascii="宋体" w:hAnsi="宋体" w:cs="宋体"/>
                <w:sz w:val="24"/>
              </w:rPr>
              <w:t>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2</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629" w:type="dxa"/>
            <w:noWrap w:val="0"/>
            <w:vAlign w:val="center"/>
          </w:tcPr>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宋体" w:hAnsi="宋体" w:cs="宋体"/>
                <w:sz w:val="24"/>
              </w:rPr>
              <w:t>环境保护、水土保持保证体系及保证措施</w:t>
            </w:r>
          </w:p>
        </w:tc>
        <w:tc>
          <w:tcPr>
            <w:tcW w:w="4450" w:type="dxa"/>
            <w:noWrap w:val="0"/>
            <w:vAlign w:val="center"/>
          </w:tcPr>
          <w:p>
            <w:pPr>
              <w:pageBreakBefore w:val="0"/>
              <w:widowControl w:val="0"/>
              <w:kinsoku/>
              <w:overflowPunct/>
              <w:topLinePunct w:val="0"/>
              <w:autoSpaceDE/>
              <w:autoSpaceDN/>
              <w:bidi w:val="0"/>
              <w:adjustRightIn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rPr>
              <w:t>环境保护、水土保持保证体系及保证措施满足</w:t>
            </w:r>
            <w:r>
              <w:rPr>
                <w:rFonts w:hint="eastAsia" w:ascii="宋体" w:hAnsi="宋体" w:cs="宋体"/>
                <w:sz w:val="24"/>
                <w:lang w:eastAsia="zh-CN"/>
              </w:rPr>
              <w:t>工程</w:t>
            </w:r>
            <w:r>
              <w:rPr>
                <w:rFonts w:hint="eastAsia" w:ascii="宋体" w:hAnsi="宋体" w:cs="宋体"/>
                <w:sz w:val="24"/>
              </w:rPr>
              <w:t>基本要求</w:t>
            </w:r>
            <w:r>
              <w:rPr>
                <w:rFonts w:hint="eastAsia" w:ascii="宋体" w:hAnsi="宋体" w:cs="宋体"/>
                <w:sz w:val="24"/>
                <w:lang w:eastAsia="zh-CN"/>
              </w:rPr>
              <w:t>，</w:t>
            </w:r>
            <w:r>
              <w:rPr>
                <w:rFonts w:hint="eastAsia" w:ascii="宋体" w:hAnsi="宋体" w:cs="宋体"/>
                <w:sz w:val="24"/>
              </w:rPr>
              <w:t>得1.</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切实可行且科学合理的，酌情加分。</w:t>
            </w:r>
            <w:r>
              <w:rPr>
                <w:rFonts w:hint="eastAsia" w:ascii="宋体" w:hAnsi="宋体" w:cs="宋体"/>
                <w:sz w:val="24"/>
              </w:rPr>
              <w:t>本项最高</w:t>
            </w:r>
            <w:r>
              <w:rPr>
                <w:rFonts w:hint="eastAsia" w:ascii="宋体" w:hAnsi="宋体" w:cs="宋体"/>
                <w:sz w:val="24"/>
                <w:lang w:eastAsia="zh-CN"/>
              </w:rPr>
              <w:t>得</w:t>
            </w:r>
            <w:r>
              <w:rPr>
                <w:rFonts w:hint="eastAsia" w:ascii="宋体" w:hAnsi="宋体" w:cs="宋体"/>
                <w:sz w:val="24"/>
                <w:lang w:val="en-US" w:eastAsia="zh-CN"/>
              </w:rPr>
              <w:t>2</w:t>
            </w:r>
            <w:r>
              <w:rPr>
                <w:rFonts w:hint="eastAsia" w:ascii="宋体" w:hAnsi="宋体" w:cs="宋体"/>
                <w:sz w:val="24"/>
              </w:rPr>
              <w:t>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2</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629" w:type="dxa"/>
            <w:noWrap w:val="0"/>
            <w:vAlign w:val="center"/>
          </w:tcPr>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宋体" w:hAnsi="宋体" w:cs="宋体"/>
                <w:sz w:val="24"/>
              </w:rPr>
              <w:t>文明施工、安全生产保证体系及保证措施</w:t>
            </w:r>
          </w:p>
        </w:tc>
        <w:tc>
          <w:tcPr>
            <w:tcW w:w="4450" w:type="dxa"/>
            <w:noWrap w:val="0"/>
            <w:vAlign w:val="center"/>
          </w:tcPr>
          <w:p>
            <w:pPr>
              <w:pageBreakBefore w:val="0"/>
              <w:widowControl w:val="0"/>
              <w:kinsoku/>
              <w:overflowPunct/>
              <w:topLinePunct w:val="0"/>
              <w:autoSpaceDE/>
              <w:autoSpaceDN/>
              <w:bidi w:val="0"/>
              <w:adjustRightIn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rPr>
              <w:t>文明施工、安全生产保证体系及保证措施满足</w:t>
            </w:r>
            <w:r>
              <w:rPr>
                <w:rFonts w:hint="eastAsia" w:ascii="宋体" w:hAnsi="宋体" w:cs="宋体"/>
                <w:sz w:val="24"/>
                <w:lang w:eastAsia="zh-CN"/>
              </w:rPr>
              <w:t>工程</w:t>
            </w:r>
            <w:r>
              <w:rPr>
                <w:rFonts w:hint="eastAsia" w:ascii="宋体" w:hAnsi="宋体" w:cs="宋体"/>
                <w:sz w:val="24"/>
              </w:rPr>
              <w:t>基本要求</w:t>
            </w:r>
            <w:r>
              <w:rPr>
                <w:rFonts w:hint="eastAsia" w:ascii="宋体" w:hAnsi="宋体" w:cs="宋体"/>
                <w:sz w:val="24"/>
                <w:lang w:eastAsia="zh-CN"/>
              </w:rPr>
              <w:t>，</w:t>
            </w:r>
            <w:r>
              <w:rPr>
                <w:rFonts w:hint="eastAsia" w:ascii="宋体" w:hAnsi="宋体" w:cs="宋体"/>
                <w:sz w:val="24"/>
              </w:rPr>
              <w:t>得1.</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切实可行且科学合理的，酌情加分。</w:t>
            </w:r>
            <w:r>
              <w:rPr>
                <w:rFonts w:hint="eastAsia" w:ascii="宋体" w:hAnsi="宋体" w:cs="宋体"/>
                <w:sz w:val="24"/>
              </w:rPr>
              <w:t>本项最高</w:t>
            </w:r>
            <w:r>
              <w:rPr>
                <w:rFonts w:hint="eastAsia" w:ascii="宋体" w:hAnsi="宋体" w:cs="宋体"/>
                <w:sz w:val="24"/>
                <w:lang w:eastAsia="zh-CN"/>
              </w:rPr>
              <w:t>得</w:t>
            </w:r>
            <w:r>
              <w:rPr>
                <w:rFonts w:hint="eastAsia" w:ascii="宋体" w:hAnsi="宋体" w:cs="宋体"/>
                <w:sz w:val="24"/>
                <w:lang w:val="en-US" w:eastAsia="zh-CN"/>
              </w:rPr>
              <w:t>2</w:t>
            </w:r>
            <w:r>
              <w:rPr>
                <w:rFonts w:hint="eastAsia" w:ascii="宋体" w:hAnsi="宋体" w:cs="宋体"/>
                <w:sz w:val="24"/>
              </w:rPr>
              <w:t>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2</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629" w:type="dxa"/>
            <w:noWrap w:val="0"/>
            <w:vAlign w:val="center"/>
          </w:tcPr>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宋体" w:hAnsi="宋体" w:cs="宋体"/>
                <w:sz w:val="24"/>
              </w:rPr>
              <w:t>项目风险预测与防范，事故应急预案</w:t>
            </w:r>
          </w:p>
        </w:tc>
        <w:tc>
          <w:tcPr>
            <w:tcW w:w="4450" w:type="dxa"/>
            <w:noWrap w:val="0"/>
            <w:vAlign w:val="center"/>
          </w:tcPr>
          <w:p>
            <w:pPr>
              <w:pageBreakBefore w:val="0"/>
              <w:widowControl w:val="0"/>
              <w:kinsoku/>
              <w:overflowPunct/>
              <w:topLinePunct w:val="0"/>
              <w:autoSpaceDE/>
              <w:autoSpaceDN/>
              <w:bidi w:val="0"/>
              <w:adjustRightIn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rPr>
              <w:t>项目风险预测与防范，事故应急预案满足</w:t>
            </w:r>
            <w:r>
              <w:rPr>
                <w:rFonts w:hint="eastAsia" w:ascii="宋体" w:hAnsi="宋体" w:cs="宋体"/>
                <w:sz w:val="24"/>
                <w:lang w:eastAsia="zh-CN"/>
              </w:rPr>
              <w:t>工程</w:t>
            </w:r>
            <w:r>
              <w:rPr>
                <w:rFonts w:hint="eastAsia" w:ascii="宋体" w:hAnsi="宋体" w:cs="宋体"/>
                <w:sz w:val="24"/>
              </w:rPr>
              <w:t>基本要求</w:t>
            </w:r>
            <w:r>
              <w:rPr>
                <w:rFonts w:hint="eastAsia" w:ascii="宋体" w:hAnsi="宋体" w:cs="宋体"/>
                <w:sz w:val="24"/>
                <w:lang w:eastAsia="zh-CN"/>
              </w:rPr>
              <w:t>，</w:t>
            </w:r>
            <w:r>
              <w:rPr>
                <w:rFonts w:hint="eastAsia" w:ascii="宋体" w:hAnsi="宋体" w:cs="宋体"/>
                <w:sz w:val="24"/>
              </w:rPr>
              <w:t>得1.</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切实可行且科学合理的，酌情加分。</w:t>
            </w:r>
            <w:r>
              <w:rPr>
                <w:rFonts w:hint="eastAsia" w:ascii="宋体" w:hAnsi="宋体" w:cs="宋体"/>
                <w:sz w:val="24"/>
              </w:rPr>
              <w:t>本项最高</w:t>
            </w:r>
            <w:r>
              <w:rPr>
                <w:rFonts w:hint="eastAsia" w:ascii="宋体" w:hAnsi="宋体" w:cs="宋体"/>
                <w:sz w:val="24"/>
                <w:lang w:eastAsia="zh-CN"/>
              </w:rPr>
              <w:t>得</w:t>
            </w:r>
            <w:r>
              <w:rPr>
                <w:rFonts w:hint="eastAsia" w:ascii="宋体" w:hAnsi="宋体" w:cs="宋体"/>
                <w:sz w:val="24"/>
                <w:lang w:val="en-US" w:eastAsia="zh-CN"/>
              </w:rPr>
              <w:t>2</w:t>
            </w:r>
            <w:r>
              <w:rPr>
                <w:rFonts w:hint="eastAsia" w:ascii="宋体" w:hAnsi="宋体" w:cs="宋体"/>
                <w:sz w:val="24"/>
              </w:rPr>
              <w:t>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2</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629" w:type="dxa"/>
            <w:noWrap w:val="0"/>
            <w:vAlign w:val="center"/>
          </w:tcPr>
          <w:p>
            <w:pPr>
              <w:pageBreakBefore w:val="0"/>
              <w:widowControl w:val="0"/>
              <w:kinsoku/>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宋体" w:hAnsi="宋体" w:cs="宋体"/>
                <w:sz w:val="24"/>
              </w:rPr>
              <w:t>缺陷责任期工作方案、管理体系及质量保证措施</w:t>
            </w:r>
          </w:p>
        </w:tc>
        <w:tc>
          <w:tcPr>
            <w:tcW w:w="4450" w:type="dxa"/>
            <w:noWrap w:val="0"/>
            <w:vAlign w:val="center"/>
          </w:tcPr>
          <w:p>
            <w:pPr>
              <w:pageBreakBefore w:val="0"/>
              <w:widowControl w:val="0"/>
              <w:numPr>
                <w:ilvl w:val="0"/>
                <w:numId w:val="0"/>
              </w:numPr>
              <w:kinsoku/>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rPr>
              <w:t>缺陷责任期工作方案、管理体系及质量保证措施满足</w:t>
            </w:r>
            <w:r>
              <w:rPr>
                <w:rFonts w:hint="eastAsia" w:ascii="宋体" w:hAnsi="宋体" w:cs="宋体"/>
                <w:sz w:val="24"/>
                <w:lang w:eastAsia="zh-CN"/>
              </w:rPr>
              <w:t>工程</w:t>
            </w:r>
            <w:r>
              <w:rPr>
                <w:rFonts w:hint="eastAsia" w:ascii="宋体" w:hAnsi="宋体" w:cs="宋体"/>
                <w:sz w:val="24"/>
              </w:rPr>
              <w:t>基本要求</w:t>
            </w:r>
            <w:r>
              <w:rPr>
                <w:rFonts w:hint="eastAsia" w:ascii="宋体" w:hAnsi="宋体" w:cs="宋体"/>
                <w:sz w:val="24"/>
                <w:lang w:eastAsia="zh-CN"/>
              </w:rPr>
              <w:t>，</w:t>
            </w:r>
            <w:r>
              <w:rPr>
                <w:rFonts w:hint="eastAsia" w:ascii="宋体" w:hAnsi="宋体" w:cs="宋体"/>
                <w:sz w:val="24"/>
              </w:rPr>
              <w:t>得1.</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切实可行且科学合理的，酌情加分。</w:t>
            </w:r>
            <w:r>
              <w:rPr>
                <w:rFonts w:hint="eastAsia" w:ascii="宋体" w:hAnsi="宋体" w:cs="宋体"/>
                <w:sz w:val="24"/>
              </w:rPr>
              <w:t>本项最高</w:t>
            </w:r>
            <w:r>
              <w:rPr>
                <w:rFonts w:hint="eastAsia" w:ascii="宋体" w:hAnsi="宋体" w:cs="宋体"/>
                <w:sz w:val="24"/>
                <w:lang w:eastAsia="zh-CN"/>
              </w:rPr>
              <w:t>得</w:t>
            </w:r>
            <w:r>
              <w:rPr>
                <w:rFonts w:hint="eastAsia" w:ascii="宋体" w:hAnsi="宋体" w:cs="宋体"/>
                <w:sz w:val="24"/>
                <w:lang w:val="en-US" w:eastAsia="zh-CN"/>
              </w:rPr>
              <w:t>2</w:t>
            </w:r>
            <w:r>
              <w:rPr>
                <w:rFonts w:hint="eastAsia" w:ascii="宋体" w:hAnsi="宋体" w:cs="宋体"/>
                <w:sz w:val="24"/>
              </w:rPr>
              <w:t>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2</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r>
    </w:tbl>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（4）主要人员</w:t>
      </w:r>
    </w:p>
    <w:tbl>
      <w:tblPr>
        <w:tblStyle w:val="20"/>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42"/>
        <w:gridCol w:w="4219"/>
        <w:gridCol w:w="967"/>
        <w:gridCol w:w="91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序号</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评审因素</w:t>
            </w:r>
          </w:p>
        </w:tc>
        <w:tc>
          <w:tcPr>
            <w:tcW w:w="421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评审标准</w:t>
            </w: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分值（分）</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权重（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项目经理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任职资格与业绩</w:t>
            </w:r>
          </w:p>
        </w:tc>
        <w:tc>
          <w:tcPr>
            <w:tcW w:w="421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）满足资格审查要求得</w:t>
            </w:r>
            <w:r>
              <w:rPr>
                <w:rFonts w:hint="eastAsia" w:ascii="宋体" w:hAnsi="宋体" w:eastAsia="宋体" w:cs="宋体"/>
                <w:sz w:val="24"/>
                <w:szCs w:val="24"/>
                <w:lang w:val="en-US" w:eastAsia="zh-CN"/>
              </w:rPr>
              <w:t>9分；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（2）在满足资格审查标准的基础上，每增加1项满足资格审查标准的项目经理业绩</w:t>
            </w:r>
            <w:r>
              <w:rPr>
                <w:rFonts w:hint="eastAsia" w:ascii="宋体" w:hAnsi="宋体" w:cs="宋体"/>
                <w:sz w:val="24"/>
                <w:szCs w:val="24"/>
                <w:lang w:val="en-US" w:eastAsia="zh-CN"/>
              </w:rPr>
              <w:t>加4</w:t>
            </w:r>
            <w:r>
              <w:rPr>
                <w:rFonts w:hint="eastAsia" w:ascii="宋体" w:hAnsi="宋体" w:eastAsia="宋体" w:cs="宋体"/>
                <w:sz w:val="24"/>
                <w:szCs w:val="24"/>
                <w:lang w:val="en-US" w:eastAsia="zh-CN"/>
              </w:rPr>
              <w:t>分，最高</w:t>
            </w:r>
            <w:r>
              <w:rPr>
                <w:rFonts w:hint="eastAsia" w:ascii="宋体" w:hAnsi="宋体" w:cs="宋体"/>
                <w:sz w:val="24"/>
                <w:szCs w:val="24"/>
                <w:lang w:val="en-US" w:eastAsia="zh-CN"/>
              </w:rPr>
              <w:t>加</w:t>
            </w:r>
            <w:r>
              <w:rPr>
                <w:rFonts w:hint="eastAsia" w:ascii="宋体" w:hAnsi="宋体" w:eastAsia="宋体" w:cs="宋体"/>
                <w:sz w:val="24"/>
                <w:szCs w:val="24"/>
                <w:lang w:val="en-US" w:eastAsia="zh-CN"/>
              </w:rPr>
              <w:t>4分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（3）具有公路工程相关专业</w:t>
            </w:r>
            <w:r>
              <w:rPr>
                <w:rFonts w:hint="eastAsia" w:ascii="宋体" w:hAnsi="宋体" w:cs="宋体"/>
                <w:sz w:val="24"/>
                <w:szCs w:val="24"/>
                <w:lang w:val="en-US" w:eastAsia="zh-CN"/>
              </w:rPr>
              <w:t>中级职称加1分；</w:t>
            </w:r>
            <w:r>
              <w:rPr>
                <w:rFonts w:hint="eastAsia" w:ascii="宋体" w:hAnsi="宋体" w:eastAsia="宋体" w:cs="宋体"/>
                <w:sz w:val="24"/>
                <w:szCs w:val="24"/>
                <w:lang w:val="en-US" w:eastAsia="zh-CN"/>
              </w:rPr>
              <w:t>具有公路工程相关专业高级职称加2分</w:t>
            </w:r>
            <w:r>
              <w:rPr>
                <w:rFonts w:hint="eastAsia" w:ascii="宋体" w:hAnsi="宋体" w:cs="宋体"/>
                <w:sz w:val="24"/>
                <w:szCs w:val="24"/>
                <w:lang w:val="en-US" w:eastAsia="zh-CN"/>
              </w:rPr>
              <w:t>。</w:t>
            </w: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15</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项目总工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任职资格与业绩</w:t>
            </w:r>
          </w:p>
        </w:tc>
        <w:tc>
          <w:tcPr>
            <w:tcW w:w="421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）满足资格审查要求得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（2）在满足资格审查标准的基础上，每增加1项满足资格审查标准的项目总工业绩</w:t>
            </w:r>
            <w:r>
              <w:rPr>
                <w:rFonts w:hint="eastAsia" w:ascii="宋体" w:hAnsi="宋体" w:cs="宋体"/>
                <w:sz w:val="24"/>
                <w:szCs w:val="24"/>
                <w:lang w:val="en-US" w:eastAsia="zh-CN"/>
              </w:rPr>
              <w:t>加</w:t>
            </w:r>
            <w:r>
              <w:rPr>
                <w:rFonts w:hint="eastAsia" w:ascii="宋体" w:hAnsi="宋体" w:eastAsia="宋体" w:cs="宋体"/>
                <w:sz w:val="24"/>
                <w:szCs w:val="24"/>
                <w:lang w:val="en-US" w:eastAsia="zh-CN"/>
              </w:rPr>
              <w:t>2分，最高</w:t>
            </w:r>
            <w:r>
              <w:rPr>
                <w:rFonts w:hint="eastAsia" w:ascii="宋体" w:hAnsi="宋体" w:cs="宋体"/>
                <w:sz w:val="24"/>
                <w:szCs w:val="24"/>
                <w:lang w:val="en-US" w:eastAsia="zh-CN"/>
              </w:rPr>
              <w:t>加</w:t>
            </w:r>
            <w:r>
              <w:rPr>
                <w:rFonts w:hint="eastAsia" w:ascii="宋体" w:hAnsi="宋体" w:eastAsia="宋体" w:cs="宋体"/>
                <w:sz w:val="24"/>
                <w:szCs w:val="24"/>
                <w:lang w:val="en-US" w:eastAsia="zh-CN"/>
              </w:rPr>
              <w:t>2分；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（3）具有公路工程相关专业高级职称加2分。</w:t>
            </w: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10</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w:t>
            </w:r>
          </w:p>
        </w:tc>
      </w:tr>
    </w:tbl>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（5）技术能力</w:t>
      </w:r>
    </w:p>
    <w:tbl>
      <w:tblPr>
        <w:tblStyle w:val="20"/>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83"/>
        <w:gridCol w:w="4350"/>
        <w:gridCol w:w="967"/>
        <w:gridCol w:w="927"/>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序号</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评审因素</w:t>
            </w:r>
          </w:p>
        </w:tc>
        <w:tc>
          <w:tcPr>
            <w:tcW w:w="43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评审标准</w:t>
            </w: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分值（分）</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权重（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技术能力</w:t>
            </w:r>
          </w:p>
        </w:tc>
        <w:tc>
          <w:tcPr>
            <w:tcW w:w="43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（1）满足资格审查要求得6分；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（2）投标人获得过与项目施工有关的国家级工法、专利 (发明专利或实用新型专利)、国家或省级科技技术进步奖的，每提供一项证明材料加0.5分，最高加2分；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（3）投标人主编或参编过国家、行业或地方标准的，每提供一项证明材料加0.5分，最高加2分。</w:t>
            </w: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w:t>
            </w:r>
          </w:p>
        </w:tc>
      </w:tr>
    </w:tbl>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（6）履约信誉</w:t>
      </w:r>
    </w:p>
    <w:tbl>
      <w:tblPr>
        <w:tblStyle w:val="20"/>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55"/>
        <w:gridCol w:w="4384"/>
        <w:gridCol w:w="933"/>
        <w:gridCol w:w="944"/>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序号</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评审因素</w:t>
            </w:r>
          </w:p>
        </w:tc>
        <w:tc>
          <w:tcPr>
            <w:tcW w:w="438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评审标准</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分值（分）</w:t>
            </w: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权重（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履约信誉</w:t>
            </w:r>
          </w:p>
        </w:tc>
        <w:tc>
          <w:tcPr>
            <w:tcW w:w="438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依据投标人在“全国公路建设市场信用信息系统”最新的全国综合信用评价或陕西省交通运输厅发布的2022年度陕西省公路施工企业信用评价结果，信用等级为AA级的得15分，A级得14分，B级得13分，C级得12分。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2022年度在陕西省无信用评价结果的，延续陕西省上一年度信用评价结果。延续后仍无信用评价结果的，按照全国综合评价结果确定，但不得高于陕西省原评价等级的上一等级。尚无全国综合评价的企业，若无不良信用记录，可按A级对待；若有不良信用记录，视其严重程度按B级及以下对待。</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w:t>
            </w:r>
          </w:p>
        </w:tc>
      </w:tr>
    </w:tbl>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（7）企业业绩</w:t>
      </w:r>
    </w:p>
    <w:tbl>
      <w:tblPr>
        <w:tblStyle w:val="20"/>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72"/>
        <w:gridCol w:w="4378"/>
        <w:gridCol w:w="950"/>
        <w:gridCol w:w="933"/>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序号</w:t>
            </w:r>
          </w:p>
        </w:tc>
        <w:tc>
          <w:tcPr>
            <w:tcW w:w="16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评审因素</w:t>
            </w:r>
          </w:p>
        </w:tc>
        <w:tc>
          <w:tcPr>
            <w:tcW w:w="43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评审标准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分值（分）</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权重（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6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企业业绩</w:t>
            </w:r>
          </w:p>
        </w:tc>
        <w:tc>
          <w:tcPr>
            <w:tcW w:w="43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（1）满足资格审查要求得12分；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（2）在满足资格审查标准的基础上，每增加1项满足资格审查标准的业绩加4分，最多加8分。</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w:t>
            </w:r>
          </w:p>
        </w:tc>
      </w:tr>
    </w:tbl>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5.第二个信封评审步骤：形式评审与响应性评审</w:t>
      </w:r>
    </w:p>
    <w:tbl>
      <w:tblPr>
        <w:tblStyle w:val="20"/>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825"/>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评审因素</w:t>
            </w:r>
          </w:p>
        </w:tc>
        <w:tc>
          <w:tcPr>
            <w:tcW w:w="7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格式内容</w:t>
            </w:r>
          </w:p>
        </w:tc>
        <w:tc>
          <w:tcPr>
            <w:tcW w:w="7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投标文件按照招标文件规定的格式、内容填写，字迹清晰可辨：a.投标函按招标文件规定填报了项目名称、补遗书编号（如有）、投标价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包括大写金额和小写金额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b.已标价工程量清单与招标文件规定一致，未进行实质性修改和删减</w:t>
            </w:r>
            <w:r>
              <w:rPr>
                <w:rFonts w:hint="eastAsia" w:asciiTheme="minorEastAsia" w:hAnsiTheme="minorEastAsia" w:eastAsiaTheme="minorEastAsia" w:cstheme="minorEastAsia"/>
                <w:sz w:val="24"/>
                <w:szCs w:val="24"/>
              </w:rPr>
              <w:t>；c.投标文件组成齐全完整，内容均按规定填写。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签字盖章</w:t>
            </w:r>
          </w:p>
        </w:tc>
        <w:tc>
          <w:tcPr>
            <w:tcW w:w="7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投标文件上法定代表人或其授权代理人的签字、投标人的单位章盖章齐全，符合招标文件规定。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不得高于</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最高投标限价</w:t>
            </w:r>
          </w:p>
        </w:tc>
        <w:tc>
          <w:tcPr>
            <w:tcW w:w="7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投标报价未超过招标文件设定的最高投标限价（如有）。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大写金额</w:t>
            </w:r>
          </w:p>
        </w:tc>
        <w:tc>
          <w:tcPr>
            <w:tcW w:w="7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投标报价的大写金额能够确定具体数值。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报价唯一</w:t>
            </w:r>
          </w:p>
        </w:tc>
        <w:tc>
          <w:tcPr>
            <w:tcW w:w="718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同一投标人未提交两个以上不同的投标报价，但招标文件要求提交备选投标的除外。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调价函</w:t>
            </w:r>
          </w:p>
        </w:tc>
        <w:tc>
          <w:tcPr>
            <w:tcW w:w="7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投标人未提交调价函。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工程量清单</w:t>
            </w:r>
          </w:p>
        </w:tc>
        <w:tc>
          <w:tcPr>
            <w:tcW w:w="718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投标人若填写工程量固化清单，填写完毕的工程量固化清单未对工程量固化清单电子文件中的数据、格式和运算定义进行修改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工程量固化清单中的投标报价和投标函大写金额报价一致。</w:t>
            </w:r>
          </w:p>
        </w:tc>
      </w:tr>
    </w:tbl>
    <w:p>
      <w:pPr>
        <w:pStyle w:val="14"/>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color w:val="auto"/>
          <w:sz w:val="24"/>
          <w:szCs w:val="24"/>
          <w:lang w:val="en-US" w:eastAsia="zh-CN"/>
        </w:rPr>
        <w:t>6.对排名在招标文件规定数量以内的投标人的报价文件进行评审，按照评标价由低到高的顺序推荐中标候选人，或根据招标人授权直接确定中标人，但投标报价低于其成本的除外。评标价相等时，评标委员会依次按照商务和技术得分、招标项目所在地省级交通运输主管部门信用等级的高低推荐中标候选人或确定中标人。</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bCs/>
          <w:color w:val="auto"/>
          <w:sz w:val="24"/>
          <w:szCs w:val="24"/>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bCs/>
          <w:color w:val="auto"/>
          <w:sz w:val="24"/>
          <w:szCs w:val="24"/>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bCs/>
          <w:color w:val="auto"/>
          <w:sz w:val="24"/>
          <w:szCs w:val="24"/>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bCs/>
          <w:color w:val="auto"/>
          <w:sz w:val="24"/>
          <w:szCs w:val="24"/>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bCs/>
          <w:color w:val="auto"/>
          <w:sz w:val="24"/>
          <w:szCs w:val="24"/>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评标办法（技术评分最低标价法）正文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1.评标方法</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bookmarkStart w:id="283" w:name="第03章评标办法综合评估法02"/>
      <w:bookmarkEnd w:id="283"/>
      <w:r>
        <w:rPr>
          <w:rFonts w:hint="eastAsia" w:asciiTheme="minorEastAsia" w:hAnsiTheme="minorEastAsia" w:eastAsiaTheme="minorEastAsia" w:cstheme="minorEastAsia"/>
          <w:color w:val="auto"/>
          <w:sz w:val="24"/>
          <w:szCs w:val="24"/>
          <w:lang w:val="en-US" w:eastAsia="zh-CN"/>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依次按照商务和技术得分、招标项目所在地省级交通运输主管部门信用等级的高低推荐中标候选人或确定中标人。</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2.评审标准</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 初步评审标准</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bookmarkStart w:id="284" w:name="第03章评标办法综合评估法03"/>
      <w:bookmarkEnd w:id="284"/>
      <w:r>
        <w:rPr>
          <w:rFonts w:hint="eastAsia" w:asciiTheme="minorEastAsia" w:hAnsiTheme="minorEastAsia" w:eastAsiaTheme="minorEastAsia" w:cstheme="minorEastAsia"/>
          <w:color w:val="auto"/>
          <w:sz w:val="24"/>
          <w:szCs w:val="24"/>
          <w:lang w:val="en-US" w:eastAsia="zh-CN"/>
        </w:rPr>
        <w:t>2.1.1 形式评审与响应性评审标准：见评标办法前附表。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2.1.2 资格评审标准：见评标办法前附表。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 分值构成与评分标准</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2.2.1 第一个信封评分的分值构成</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（1）施工组织设计：见评标办法前附表；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（2）主要人员：见评标办法前附表；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（3）其他评分因素：见评标办法前附表。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2.2.2 第一个信封评分的评分标准</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（1）施工组织设计：见评标办法前附表；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（2）主要人员：见评标办法前附表；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（3）其他评分因素：见评标办法前附表。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3.评标程序</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 第一个信封初步评审</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3.1.1 评标委员会可以要求投标人提交第二章“投标人须知”第3.5.1项至第3.5.5项规定的有关证明和证件的原件，以使核验。评标委员会依据本章第2.1款规定的标准对投标文件第一个信封（商务及技术文件）进行初步评审。有一项不符合评审标准的，评标委员会应否决其投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3.2第一个信封详细评审</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3.2.1评标委员会按本章第2.2款规定的量化因素和分值进行打分，并计算出各投标人的商务和技术得分。</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（1）按本章第2.2.2项（1）目规定的评审因素和分值对施工组织设计部分计算出得分A；</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（2）按本章第2.2.2项（2）目规定的评审因素和分值对主要人员部分计算出得分B；</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（3）按本章第2.2.2项（3）目规定的评审因素和分值对其他部分计算出得分C。</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3.2.2投标人的商务和技术得分分值计算保留小数点后两位，小数点后第三位“四舍五入”。</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3.2.3 投标人的商务和技术得分=A+B+C</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3.2.4 评标委员会按照投标人商务和技术得分由高到低排序，排名在评标办法前附表规定的数量以内的投标人，其投标文件第一个信封（商务及技术文件）通过详细评审。</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3.2.5 通过投标文件第一个信封（商务及技术文件）初步评审的投标人不少于3个且未超过评标办法前附表规定数量的，均通过投标文件第一个信封（商务及技术文件）详细评审，不再进行商务和技术评分。</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 第二个信封开标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第一个信封（商务及技术文件）评审结束后，招标人将按照第二章“投标人须知”第5.1款规定的时间和地点对通过投标文件第一个信封（商务及技术文件）评审的投标文件第二个信封（报价文件）进行开标。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3.4 第二个信封初步评审</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3.4.1 评标委员会依据本章第2.1.1项规定的评审标准对投标文件第二个信封（报价文件）进行初步评审。有一项不符合评审标准的，评标委员会应否决其投标。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3.4.2 投标报价有算术错误的，评标委员会按以下原则对投标报价进行修正，修正的价格经投标人书面确认后具有约束力。投标人不接受修正价格的，评标委员会应否决其投标。（本项目不适用）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（1）投标文件中的大写金额与小写金额不一致的，以大写金额为准；</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（2）总价金额与依据单价计算出的结果不一致的，以单价金额为准修正总价， 但单价金额小数点有明显错误的除外；</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（3）当单价与数量相乘不等于合价时，以单价计算为准，如果单价有明显的小数点位置差错，应以标出的合价为准，同时对单价予以修正；</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（4）当各子目的合价累计不等于总价时，应以各子目合价累计数为准，修正总价。</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3.4.3 工程量清单中的投标报价有其他错误的，评标委员会按以下原则对投标报价进行修正，修正的价格经投标人书面确认后具有约束力。投标人不接受修正价格的，评标委员会应否决其投标。（本项目不适用）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（3）当单价与数量的乘积与合价(金额)虽然一致，但投标人修改了该子目的工程数量，则其合价按招标人给定的工程数量乘以投标人所报单价予以修正。</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3.4.4 修正后的投标报价若超过最高投标限价（如有），评标委员会应否决其投标。（本项目不适用）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3.5 第二个信封详细评审</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3.6 投标文件相关信息的核查</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3.6.1在评标过程中，评标委员会应对投标人的资质、业绩、主要人员资历和目前在岗情况、信用等级等信息进行核实。若投标文件载明的信息与核实的信息不符，使得投标人的资格条件不符合招标文件规定的，评标委员会应否决其投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3.6.2评标委员会应对在评标过程中发现的投标人与投标人之间、投标人与招标人之间存在的串通投标的情形进行评审和认定。投标人存在串通投标、弄虚作假、行贿等违法行为的，评标委员会应否决其投标。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（1）有下列情形之一的，属于投标人相互串通投标：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a.投标人之间协商投标报价等投标文件的实质性内容；</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b.投标人之间约定中标人；</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c.投标人之间约定部分投标人放弃投标或中标；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d.属于同一集团、协会、商会等组织成员的投标人按照该组织要求协同投标；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e.投标人之间为谋取中标或排斥特定投标人而采取的其他联合行动。</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（2）有下列情形之一的，视为投标人相互串通投标：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a.不同投标人的投标文件由同一单位或个人编制；</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b.不同投标人委托同一单位或个人办理投标事宜；</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c.不同投标人的投标文件载明的项目管理成员为同一人；</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d.不同投标人的投标文件异常一致或投标报价呈规律性差异；</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e.不同投标人的投标文件相互混装；</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f.不同投标人的投标保证金从同一单位或个人的账户转出。</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（3）有下列情形之一的，属于招标人与投标人串通投标：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a.招标人在开标前开启投标文件并将有关信息泄露给其他投标人；</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b.招标人直接或间接向投标人泄露标底、评标委员会成员等信息；</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c.招标人明示或暗示投标人压低或抬高投标报价；</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d.招标人授意投标人撤换、修改投标文件；</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e.招标人明示或暗示投标人为特定投标人中标提供方便；</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f.招标人与投标人为谋求特定投标人中标而采取的其他串通行为。</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（4）投标人有下列情形之一的，属于弄虚作假的行为：</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a.使用通过受让或租借等方式获取的资格、资质证书投标；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b.使用伪造、变造的许可证件；</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c.提供虚假的财务状况或业绩；</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d.提供虚假的项目负责人或主要技术人员简历、劳动关系证明；</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e.提供虚假的信用状况；</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f.其他弄虚作假的行为。</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3.7 投标文件的澄清和说明</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3.7.2 澄清和说明不得超出投标文件的范围或改变投标文件的实质性内容（算术性错误的修正除外）。投标人的书面澄清、说明属于投标文件的组成部分。</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3.7.3 评标委员会不得暗示或诱导投标人作出澄清、说明，对投标人提交的澄清、说明有疑问的，可以要求投标人进一步澄清或说明，直至满足评标委员会的要求。</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3.7.4 凡超出招标文件规定的或给发包人带来未曾要求的利益的变化、偏差或其他因素在评标时不予考虑。</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3.8 不得否决投标的情形</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投标文件存在第二章“投标人须知”第1.12.3 项所列情形的，均视为细微偏差，评标委员会不得否决投标人的投标，应按照第二章“投标人须知”第1.12.4项规定的原则处理。</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3.9 评标结果</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3.9.1 除第二章“投标人须知”前附表授权直接确定中标人外，评标委员会按照评标价由低到高的顺序推荐中标候选人，并标明排序。评标价相等时，按商务和技术得分、近年完成的类似项目数量依次排序推荐中标候选人。</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3.9.2 评标委员会完成评标后，应向招标人提交书面评标报告。</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bCs/>
          <w:color w:val="auto"/>
          <w:sz w:val="24"/>
          <w:szCs w:val="24"/>
          <w:lang w:eastAsia="zh-CN"/>
        </w:rPr>
      </w:pP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五、联系方式</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招标人：平利县交通运输局</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地址：陕西省安康市平利县城关镇陈家坝38号</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联系人：魏先生</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电话：0915-2295317</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招标代理机构：安康市兴盛工程造价咨询有限公司</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地址：平利县水晶郦城10号楼2单元201室</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联系人：刘镇</w:t>
      </w:r>
    </w:p>
    <w:p>
      <w:pPr>
        <w:pStyle w:val="14"/>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电话：15591591985</w:t>
      </w: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auto"/>
          <w:sz w:val="24"/>
          <w:szCs w:val="24"/>
        </w:rPr>
      </w:pPr>
    </w:p>
    <w:p>
      <w:pPr>
        <w:pStyle w:val="1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auto"/>
          <w:sz w:val="24"/>
          <w:szCs w:val="24"/>
        </w:rPr>
      </w:pPr>
    </w:p>
    <w:sectPr>
      <w:footerReference r:id="rId3" w:type="default"/>
      <w:pgSz w:w="11906" w:h="16838"/>
      <w:pgMar w:top="1701" w:right="1463" w:bottom="127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Fonts w:ascii="宋体" w:hAnsi="宋体" w:eastAsia="宋体" w:cs="宋体"/>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YmU2ODkyYTI0Zjg0YzNhN2FjNzVkNzIxZmExYTIifQ=="/>
  </w:docVars>
  <w:rsids>
    <w:rsidRoot w:val="00172A27"/>
    <w:rsid w:val="00243AAC"/>
    <w:rsid w:val="005477ED"/>
    <w:rsid w:val="00B351D8"/>
    <w:rsid w:val="037955E8"/>
    <w:rsid w:val="046E6D54"/>
    <w:rsid w:val="05E0522F"/>
    <w:rsid w:val="08F5557B"/>
    <w:rsid w:val="095A5847"/>
    <w:rsid w:val="0B2E376B"/>
    <w:rsid w:val="0D7C0AE3"/>
    <w:rsid w:val="0E996770"/>
    <w:rsid w:val="12A62B28"/>
    <w:rsid w:val="14795702"/>
    <w:rsid w:val="1B522D1B"/>
    <w:rsid w:val="1F2218D3"/>
    <w:rsid w:val="1FD00B74"/>
    <w:rsid w:val="20140D2A"/>
    <w:rsid w:val="23071FB3"/>
    <w:rsid w:val="26A4476A"/>
    <w:rsid w:val="28402B61"/>
    <w:rsid w:val="284C1C5F"/>
    <w:rsid w:val="2BDB1EF3"/>
    <w:rsid w:val="2CD74C56"/>
    <w:rsid w:val="2E583426"/>
    <w:rsid w:val="2F591A57"/>
    <w:rsid w:val="34272982"/>
    <w:rsid w:val="39CD0CF6"/>
    <w:rsid w:val="3A9E56DA"/>
    <w:rsid w:val="3ACC3966"/>
    <w:rsid w:val="3E321445"/>
    <w:rsid w:val="446948F1"/>
    <w:rsid w:val="45D43539"/>
    <w:rsid w:val="4BD8680C"/>
    <w:rsid w:val="509F564A"/>
    <w:rsid w:val="554F368F"/>
    <w:rsid w:val="578E7D8D"/>
    <w:rsid w:val="579E27E6"/>
    <w:rsid w:val="58694C16"/>
    <w:rsid w:val="58E053A4"/>
    <w:rsid w:val="5EB143E2"/>
    <w:rsid w:val="613B2C98"/>
    <w:rsid w:val="61F32AC8"/>
    <w:rsid w:val="646628FF"/>
    <w:rsid w:val="69117F14"/>
    <w:rsid w:val="6DDD7E95"/>
    <w:rsid w:val="750176B5"/>
    <w:rsid w:val="769A6A08"/>
    <w:rsid w:val="777C3EF4"/>
    <w:rsid w:val="78174088"/>
    <w:rsid w:val="79F24465"/>
    <w:rsid w:val="7A9D6AC7"/>
    <w:rsid w:val="7BA37F1B"/>
    <w:rsid w:val="7E1370A0"/>
    <w:rsid w:val="7E490D14"/>
    <w:rsid w:val="7EF710A5"/>
    <w:rsid w:val="7F785A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next w:val="1"/>
    <w:qFormat/>
    <w:uiPriority w:val="0"/>
    <w:pPr>
      <w:keepNext/>
      <w:keepLines/>
      <w:widowControl w:val="0"/>
      <w:spacing w:line="276" w:lineRule="auto"/>
      <w:jc w:val="both"/>
      <w:outlineLvl w:val="1"/>
    </w:pPr>
    <w:rPr>
      <w:rFonts w:ascii="宋体" w:hAnsi="宋体" w:eastAsia="宋体" w:cs="Times New Roman"/>
      <w:b/>
      <w:bCs/>
      <w:kern w:val="2"/>
      <w:sz w:val="24"/>
      <w:szCs w:val="24"/>
      <w:lang w:val="en-US" w:eastAsia="zh-CN" w:bidi="ar-SA"/>
    </w:rPr>
  </w:style>
  <w:style w:type="paragraph" w:styleId="5">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21">
    <w:name w:val="Default Paragraph Font"/>
    <w:semiHidden/>
    <w:qFormat/>
    <w:uiPriority w:val="0"/>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Char"/>
    <w:basedOn w:val="1"/>
    <w:next w:val="1"/>
    <w:qFormat/>
    <w:uiPriority w:val="0"/>
  </w:style>
  <w:style w:type="paragraph" w:styleId="6">
    <w:name w:val="Body Text 3"/>
    <w:basedOn w:val="1"/>
    <w:qFormat/>
    <w:uiPriority w:val="0"/>
    <w:pPr>
      <w:widowControl w:val="0"/>
      <w:spacing w:before="100" w:beforeAutospacing="1" w:after="120"/>
      <w:jc w:val="both"/>
    </w:pPr>
    <w:rPr>
      <w:rFonts w:ascii="Times New Roman" w:hAnsi="Times New Roman" w:eastAsia="宋体" w:cs="Times New Roman"/>
      <w:kern w:val="2"/>
      <w:sz w:val="16"/>
      <w:szCs w:val="16"/>
      <w:lang w:val="en-US" w:eastAsia="zh-CN" w:bidi="ar-SA"/>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customStyle="1" w:styleId="9">
    <w:name w:val="Default"/>
    <w:next w:val="1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0">
    <w:name w:val="toc 2"/>
    <w:basedOn w:val="1"/>
    <w:next w:val="1"/>
    <w:qFormat/>
    <w:uiPriority w:val="39"/>
    <w:pPr>
      <w:ind w:left="210"/>
      <w:jc w:val="left"/>
    </w:pPr>
    <w:rPr>
      <w:smallCaps/>
      <w:sz w:val="20"/>
      <w:szCs w:val="20"/>
    </w:rPr>
  </w:style>
  <w:style w:type="paragraph" w:styleId="11">
    <w:name w:val="toc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2">
    <w:name w:val="Date"/>
    <w:basedOn w:val="1"/>
    <w:next w:val="1"/>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7"/>
    <w:next w:val="18"/>
    <w:qFormat/>
    <w:uiPriority w:val="0"/>
    <w:pPr>
      <w:ind w:firstLine="420" w:firstLineChars="100"/>
    </w:pPr>
    <w:rPr>
      <w:rFonts w:eastAsia="Times New Roman"/>
      <w:kern w:val="0"/>
      <w:sz w:val="20"/>
    </w:rPr>
  </w:style>
  <w:style w:type="paragraph" w:styleId="18">
    <w:name w:val="Body Text First Indent 2"/>
    <w:basedOn w:val="8"/>
    <w:next w:val="1"/>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paragraph" w:customStyle="1" w:styleId="2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6">
    <w:name w:val="Table Paragraph"/>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1330</Words>
  <Characters>1451</Characters>
  <Lines>12</Lines>
  <Paragraphs>3</Paragraphs>
  <TotalTime>4</TotalTime>
  <ScaleCrop>false</ScaleCrop>
  <LinksUpToDate>false</LinksUpToDate>
  <CharactersWithSpaces>1460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2013-05-09T01:46:00Z</dcterms:created>
  <dc:creator>雨林木风</dc:creator>
  <cp:lastModifiedBy>lenovo</cp:lastModifiedBy>
  <cp:lastPrinted>2021-12-21T07:09:00Z</cp:lastPrinted>
  <dcterms:modified xsi:type="dcterms:W3CDTF">2023-05-05T02:25:45Z</dcterms:modified>
  <dc:title>平交字【2011】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3C963F03BAF74B83B66DEAF7CB85151D</vt:lpwstr>
  </property>
</Properties>
</file>