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kinsoku/>
        <w:wordWrap/>
        <w:overflowPunct/>
        <w:topLinePunct w:val="0"/>
        <w:autoSpaceDE/>
        <w:autoSpaceDN/>
        <w:bidi w:val="0"/>
        <w:adjustRightInd/>
        <w:snapToGrid/>
        <w:spacing w:line="460" w:lineRule="exact"/>
        <w:ind w:left="-181" w:right="-181"/>
        <w:jc w:val="center"/>
        <w:textAlignment w:val="auto"/>
        <w:rPr>
          <w:rFonts w:hint="eastAsia" w:ascii="新宋体" w:hAnsi="新宋体" w:eastAsia="新宋体" w:cs="新宋体"/>
          <w:b/>
          <w:bCs/>
          <w:color w:val="auto"/>
          <w:kern w:val="0"/>
          <w:sz w:val="32"/>
          <w:szCs w:val="32"/>
          <w:shd w:val="clear" w:color="auto" w:fill="FFFFFF"/>
          <w:lang w:eastAsia="zh-CN" w:bidi="ar"/>
        </w:rPr>
      </w:pPr>
      <w:bookmarkStart w:id="0" w:name="_Toc8980"/>
      <w:bookmarkStart w:id="1" w:name="_Hlk534298331"/>
      <w:r>
        <w:rPr>
          <w:rFonts w:hint="default" w:ascii="新宋体" w:hAnsi="新宋体" w:eastAsia="新宋体" w:cs="新宋体"/>
          <w:b/>
          <w:bCs/>
          <w:color w:val="000000"/>
          <w:spacing w:val="0"/>
          <w:sz w:val="32"/>
          <w:szCs w:val="32"/>
          <w:lang w:val="en-US"/>
        </w:rPr>
        <w:t>安康市普通国省干线公路瀛湖汉江大桥等4座通航桥梁船舶碰撞桥梁隐患治理工程通航安全风险评估、桥梁抗撞性能综合评估及施工图设计及预算</w:t>
      </w:r>
      <w:r>
        <w:rPr>
          <w:rFonts w:hint="eastAsia" w:ascii="新宋体" w:hAnsi="新宋体" w:eastAsia="新宋体" w:cs="新宋体"/>
          <w:b/>
          <w:bCs/>
          <w:color w:val="000000"/>
          <w:spacing w:val="0"/>
          <w:sz w:val="32"/>
          <w:szCs w:val="32"/>
          <w:lang w:val="en-US" w:eastAsia="zh-CN"/>
        </w:rPr>
        <w:t>招标</w:t>
      </w:r>
      <w:r>
        <w:rPr>
          <w:rFonts w:hint="eastAsia" w:ascii="新宋体" w:hAnsi="新宋体" w:eastAsia="新宋体" w:cs="新宋体"/>
          <w:b/>
          <w:bCs/>
          <w:color w:val="auto"/>
          <w:sz w:val="32"/>
          <w:szCs w:val="22"/>
          <w:highlight w:val="none"/>
          <w:lang w:eastAsia="zh-CN"/>
        </w:rPr>
        <w:t>文件关键内容公示</w:t>
      </w:r>
    </w:p>
    <w:bookmarkEnd w:id="0"/>
    <w:p>
      <w:pPr>
        <w:keepNext w:val="0"/>
        <w:keepLines w:val="0"/>
        <w:pageBreakBefore w:val="0"/>
        <w:widowControl/>
        <w:numPr>
          <w:ilvl w:val="0"/>
          <w:numId w:val="0"/>
        </w:numPr>
        <w:kinsoku/>
        <w:wordWrap/>
        <w:overflowPunct/>
        <w:topLinePunct w:val="0"/>
        <w:autoSpaceDE/>
        <w:autoSpaceDN/>
        <w:bidi w:val="0"/>
        <w:adjustRightInd/>
        <w:snapToGrid/>
        <w:spacing w:line="460" w:lineRule="exact"/>
        <w:ind w:right="-181" w:rightChars="0"/>
        <w:jc w:val="left"/>
        <w:textAlignment w:val="auto"/>
        <w:rPr>
          <w:rFonts w:ascii="新宋体" w:hAnsi="新宋体" w:eastAsia="新宋体" w:cs="新宋体"/>
          <w:sz w:val="24"/>
          <w:szCs w:val="24"/>
        </w:rPr>
      </w:pPr>
      <w:bookmarkStart w:id="2" w:name="_Toc21309_WPSOffice_Level2"/>
      <w:r>
        <w:rPr>
          <w:rFonts w:hint="eastAsia" w:ascii="新宋体" w:hAnsi="新宋体" w:eastAsia="新宋体" w:cs="新宋体"/>
          <w:b/>
          <w:bCs/>
          <w:color w:val="auto"/>
          <w:kern w:val="0"/>
          <w:sz w:val="24"/>
          <w:szCs w:val="24"/>
          <w:shd w:val="clear" w:color="auto" w:fill="FFFFFF"/>
          <w:lang w:eastAsia="zh-CN" w:bidi="ar"/>
        </w:rPr>
        <w:t>一、</w:t>
      </w:r>
      <w:r>
        <w:rPr>
          <w:rFonts w:hint="eastAsia" w:ascii="新宋体" w:hAnsi="新宋体" w:eastAsia="新宋体" w:cs="新宋体"/>
          <w:b/>
          <w:bCs/>
          <w:color w:val="auto"/>
          <w:kern w:val="0"/>
          <w:sz w:val="24"/>
          <w:szCs w:val="24"/>
          <w:shd w:val="clear" w:color="auto" w:fill="FFFFFF"/>
          <w:lang w:bidi="ar"/>
        </w:rPr>
        <w:t>项目概况</w:t>
      </w:r>
      <w:bookmarkEnd w:id="2"/>
    </w:p>
    <w:p>
      <w:pPr>
        <w:spacing w:line="440" w:lineRule="exact"/>
        <w:ind w:firstLine="472" w:firstLineChars="200"/>
        <w:outlineLvl w:val="0"/>
        <w:rPr>
          <w:rFonts w:hint="eastAsia" w:ascii="宋体" w:hAnsi="宋体" w:eastAsia="宋体" w:cs="宋体"/>
          <w:spacing w:val="-2"/>
          <w:sz w:val="24"/>
          <w:szCs w:val="24"/>
        </w:rPr>
      </w:pPr>
      <w:r>
        <w:rPr>
          <w:rFonts w:hint="default" w:ascii="宋体" w:hAnsi="宋体" w:eastAsia="宋体" w:cs="宋体"/>
          <w:spacing w:val="-2"/>
          <w:sz w:val="24"/>
          <w:szCs w:val="24"/>
          <w:lang w:val="en-US"/>
        </w:rPr>
        <w:t>安康市普通国省干线公路瀛湖汉江大桥等4座通航桥梁船舶碰撞桥梁隐患治理工程通航安全风险评估、桥梁抗撞性能综合评估及施工图设计及预算</w:t>
      </w:r>
      <w:r>
        <w:rPr>
          <w:rFonts w:hint="eastAsia" w:ascii="宋体" w:hAnsi="宋体" w:eastAsia="宋体" w:cs="宋体"/>
          <w:spacing w:val="-2"/>
          <w:sz w:val="24"/>
          <w:szCs w:val="24"/>
          <w:lang w:val="en-US" w:eastAsia="zh-CN"/>
        </w:rPr>
        <w:t>，</w:t>
      </w:r>
      <w:r>
        <w:rPr>
          <w:rFonts w:hint="eastAsia" w:ascii="宋体" w:hAnsi="宋体" w:eastAsia="宋体" w:cs="宋体"/>
          <w:spacing w:val="-2"/>
          <w:sz w:val="24"/>
          <w:szCs w:val="24"/>
        </w:rPr>
        <w:t>工程规模：</w:t>
      </w:r>
      <w:r>
        <w:rPr>
          <w:rFonts w:hint="eastAsia" w:ascii="宋体" w:hAnsi="宋体" w:eastAsia="宋体" w:cs="宋体"/>
          <w:spacing w:val="-2"/>
          <w:sz w:val="24"/>
          <w:szCs w:val="24"/>
          <w:lang w:eastAsia="zh-CN"/>
        </w:rPr>
        <w:t>一标段：对瀛湖汉江大桥等</w:t>
      </w:r>
      <w:r>
        <w:rPr>
          <w:rFonts w:hint="eastAsia" w:ascii="宋体" w:hAnsi="宋体" w:eastAsia="宋体" w:cs="宋体"/>
          <w:spacing w:val="-2"/>
          <w:sz w:val="24"/>
          <w:szCs w:val="24"/>
          <w:lang w:val="en-US" w:eastAsia="zh-CN"/>
        </w:rPr>
        <w:t>4座通航桥梁按照规范进行通航安全风险评估服务；二标段：</w:t>
      </w:r>
      <w:r>
        <w:rPr>
          <w:rFonts w:hint="eastAsia" w:ascii="宋体" w:hAnsi="宋体" w:eastAsia="宋体" w:cs="宋体"/>
          <w:spacing w:val="-2"/>
          <w:sz w:val="24"/>
          <w:szCs w:val="24"/>
          <w:lang w:eastAsia="zh-CN"/>
        </w:rPr>
        <w:t>对瀛湖汉江大桥等</w:t>
      </w:r>
      <w:r>
        <w:rPr>
          <w:rFonts w:hint="eastAsia" w:ascii="宋体" w:hAnsi="宋体" w:eastAsia="宋体" w:cs="宋体"/>
          <w:spacing w:val="-2"/>
          <w:sz w:val="24"/>
          <w:szCs w:val="24"/>
          <w:lang w:val="en-US" w:eastAsia="zh-CN"/>
        </w:rPr>
        <w:t>4座通航桥梁船舶碰撞桥梁隐患治理工程桥梁抗撞性能进行验算评估，依据通航安全风险评估和桥梁抗撞性能评估进行施工图设计及后期技术服务。</w:t>
      </w:r>
    </w:p>
    <w:p>
      <w:pPr>
        <w:pStyle w:val="4"/>
        <w:keepNext/>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宋体" w:hAnsi="宋体" w:eastAsia="宋体" w:cs="宋体"/>
          <w:b/>
          <w:bCs/>
          <w:iCs/>
          <w:snapToGrid w:val="0"/>
          <w:color w:val="000000"/>
          <w:sz w:val="24"/>
          <w:szCs w:val="24"/>
          <w:lang w:val="en-US" w:eastAsia="zh-CN" w:bidi="ar-SA"/>
        </w:rPr>
      </w:pPr>
      <w:bookmarkStart w:id="3" w:name="_Toc17429_WPSOffice_Level2"/>
      <w:bookmarkEnd w:id="3"/>
      <w:bookmarkStart w:id="4" w:name="_Toc10278_WPSOffice_Level2"/>
      <w:bookmarkEnd w:id="4"/>
      <w:bookmarkStart w:id="5" w:name="_Toc1220"/>
      <w:bookmarkStart w:id="6" w:name="_Toc17135"/>
      <w:bookmarkStart w:id="7" w:name="_Toc19165"/>
      <w:bookmarkStart w:id="8" w:name="_Toc470760975"/>
      <w:bookmarkStart w:id="9" w:name="_Toc1430"/>
      <w:bookmarkStart w:id="10" w:name="_Toc501257035"/>
      <w:bookmarkStart w:id="11" w:name="_Toc12021_WPSOffice_Level2"/>
      <w:r>
        <w:rPr>
          <w:rFonts w:hint="eastAsia" w:ascii="宋体" w:hAnsi="宋体" w:eastAsia="宋体" w:cs="宋体"/>
          <w:b/>
          <w:bCs/>
          <w:iCs/>
          <w:snapToGrid w:val="0"/>
          <w:color w:val="000000"/>
          <w:sz w:val="24"/>
          <w:szCs w:val="24"/>
          <w:lang w:val="en-US" w:eastAsia="zh-CN" w:bidi="ar-SA"/>
        </w:rPr>
        <w:t>二、投标人资格要求</w:t>
      </w:r>
      <w:bookmarkEnd w:id="5"/>
      <w:bookmarkEnd w:id="6"/>
      <w:bookmarkEnd w:id="7"/>
      <w:bookmarkEnd w:id="8"/>
      <w:bookmarkEnd w:id="9"/>
      <w:bookmarkEnd w:id="10"/>
    </w:p>
    <w:p>
      <w:pPr>
        <w:pageBreakBefore w:val="0"/>
        <w:widowControl w:val="0"/>
        <w:kinsoku/>
        <w:wordWrap/>
        <w:overflowPunct/>
        <w:topLinePunct w:val="0"/>
        <w:bidi w:val="0"/>
        <w:spacing w:line="440" w:lineRule="exact"/>
        <w:ind w:firstLine="482" w:firstLineChars="200"/>
        <w:textAlignment w:val="auto"/>
        <w:outlineLvl w:val="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1、资格审查条件</w:t>
      </w:r>
    </w:p>
    <w:p>
      <w:pPr>
        <w:pageBreakBefore w:val="0"/>
        <w:widowControl w:val="0"/>
        <w:kinsoku/>
        <w:wordWrap/>
        <w:overflowPunct/>
        <w:topLinePunct w:val="0"/>
        <w:bidi w:val="0"/>
        <w:spacing w:line="440" w:lineRule="exact"/>
        <w:ind w:firstLine="472" w:firstLineChars="200"/>
        <w:textAlignment w:val="auto"/>
        <w:outlineLvl w:val="0"/>
        <w:rPr>
          <w:rFonts w:hint="eastAsia" w:ascii="宋体" w:hAnsi="宋体" w:eastAsia="宋体" w:cs="宋体"/>
          <w:spacing w:val="-2"/>
          <w:sz w:val="24"/>
          <w:szCs w:val="24"/>
        </w:rPr>
      </w:pPr>
      <w:r>
        <w:rPr>
          <w:rFonts w:hint="eastAsia" w:ascii="宋体" w:hAnsi="宋体" w:eastAsia="宋体" w:cs="宋体"/>
          <w:spacing w:val="-2"/>
          <w:sz w:val="24"/>
          <w:szCs w:val="24"/>
        </w:rPr>
        <w:t>本次</w:t>
      </w:r>
      <w:r>
        <w:rPr>
          <w:rFonts w:hint="eastAsia" w:ascii="宋体" w:hAnsi="宋体" w:eastAsia="宋体" w:cs="宋体"/>
          <w:spacing w:val="-2"/>
          <w:sz w:val="24"/>
          <w:szCs w:val="24"/>
          <w:lang w:eastAsia="zh-CN"/>
        </w:rPr>
        <w:t>招标</w:t>
      </w:r>
      <w:r>
        <w:rPr>
          <w:rFonts w:hint="eastAsia" w:ascii="宋体" w:hAnsi="宋体" w:eastAsia="宋体" w:cs="宋体"/>
          <w:spacing w:val="-2"/>
          <w:sz w:val="24"/>
          <w:szCs w:val="24"/>
        </w:rPr>
        <w:t>要求申请人满足下述各项资质、财务、业绩和信誉要求，并在人员、设备和施工组织等方面具有相应的施工能力：</w:t>
      </w:r>
    </w:p>
    <w:p>
      <w:pPr>
        <w:pStyle w:val="3"/>
        <w:pageBreakBefore w:val="0"/>
        <w:widowControl w:val="0"/>
        <w:kinsoku/>
        <w:wordWrap/>
        <w:overflowPunct/>
        <w:topLinePunct w:val="0"/>
        <w:bidi w:val="0"/>
        <w:spacing w:before="240" w:after="240" w:line="440" w:lineRule="exact"/>
        <w:ind w:firstLine="480" w:firstLineChars="200"/>
        <w:jc w:val="both"/>
        <w:textAlignment w:val="auto"/>
        <w:rPr>
          <w:rFonts w:hint="eastAsia" w:ascii="宋体" w:hAnsi="宋体" w:eastAsia="宋体" w:cs="宋体"/>
          <w:b w:val="0"/>
          <w:bCs w:val="0"/>
          <w:sz w:val="24"/>
          <w:szCs w:val="24"/>
        </w:rPr>
      </w:pPr>
      <w:bookmarkStart w:id="12" w:name="_Toc509993812"/>
      <w:bookmarkStart w:id="13" w:name="_Toc20524"/>
      <w:bookmarkStart w:id="14" w:name="_Toc21719_WPSOffice_Level2"/>
      <w:bookmarkStart w:id="15" w:name="_Toc234832863"/>
      <w:bookmarkStart w:id="16" w:name="_Toc23282_WPSOffice_Level2"/>
      <w:bookmarkStart w:id="17" w:name="_Toc1181_WPSOffice_Level2"/>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资质要求</w:t>
      </w:r>
      <w:bookmarkEnd w:id="12"/>
      <w:bookmarkEnd w:id="13"/>
      <w:bookmarkEnd w:id="14"/>
      <w:bookmarkEnd w:id="15"/>
      <w:bookmarkEnd w:id="16"/>
      <w:bookmarkEnd w:id="17"/>
    </w:p>
    <w:tbl>
      <w:tblPr>
        <w:tblStyle w:val="20"/>
        <w:tblW w:w="9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3"/>
        <w:gridCol w:w="7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4" w:hRule="atLeast"/>
          <w:jc w:val="center"/>
        </w:trPr>
        <w:tc>
          <w:tcPr>
            <w:tcW w:w="2003" w:type="dxa"/>
            <w:vAlign w:val="center"/>
          </w:tcPr>
          <w:p>
            <w:pPr>
              <w:pageBreakBefore w:val="0"/>
              <w:widowControl w:val="0"/>
              <w:kinsoku/>
              <w:wordWrap/>
              <w:overflowPunct/>
              <w:topLinePunct w:val="0"/>
              <w:bidi w:val="0"/>
              <w:adjustRightInd w:val="0"/>
              <w:snapToGrid w:val="0"/>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标段编号</w:t>
            </w:r>
          </w:p>
        </w:tc>
        <w:tc>
          <w:tcPr>
            <w:tcW w:w="7215" w:type="dxa"/>
            <w:vAlign w:val="center"/>
          </w:tcPr>
          <w:p>
            <w:pPr>
              <w:pageBreakBefore w:val="0"/>
              <w:widowControl w:val="0"/>
              <w:kinsoku/>
              <w:wordWrap/>
              <w:overflowPunct/>
              <w:topLinePunct w:val="0"/>
              <w:bidi w:val="0"/>
              <w:adjustRightInd w:val="0"/>
              <w:snapToGrid w:val="0"/>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jc w:val="center"/>
        </w:trPr>
        <w:tc>
          <w:tcPr>
            <w:tcW w:w="2003" w:type="dxa"/>
            <w:vAlign w:val="center"/>
          </w:tcPr>
          <w:p>
            <w:pPr>
              <w:pageBreakBefore w:val="0"/>
              <w:widowControl w:val="0"/>
              <w:kinsoku/>
              <w:wordWrap/>
              <w:overflowPunct/>
              <w:topLinePunct w:val="0"/>
              <w:bidi w:val="0"/>
              <w:adjustRightInd w:val="0"/>
              <w:snapToGrid w:val="0"/>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E610901354686m7rojmr001</w:t>
            </w:r>
          </w:p>
        </w:tc>
        <w:tc>
          <w:tcPr>
            <w:tcW w:w="7215" w:type="dxa"/>
            <w:vMerge w:val="restart"/>
            <w:vAlign w:val="center"/>
          </w:tcPr>
          <w:p>
            <w:pPr>
              <w:pageBreakBefore w:val="0"/>
              <w:widowControl w:val="0"/>
              <w:kinsoku/>
              <w:wordWrap/>
              <w:overflowPunct/>
              <w:topLinePunct w:val="0"/>
              <w:bidi w:val="0"/>
              <w:adjustRightInd w:val="0"/>
              <w:snapToGrid w:val="0"/>
              <w:spacing w:line="4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1.投标人必须具有国内独立法人资格及有效的企业法人营业执照；</w:t>
            </w:r>
          </w:p>
          <w:p>
            <w:pPr>
              <w:pageBreakBefore w:val="0"/>
              <w:widowControl w:val="0"/>
              <w:kinsoku/>
              <w:wordWrap/>
              <w:overflowPunct/>
              <w:topLinePunct w:val="0"/>
              <w:bidi w:val="0"/>
              <w:adjustRightInd w:val="0"/>
              <w:snapToGrid w:val="0"/>
              <w:spacing w:line="4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2.投标人须具备国家行政主管部门颁发的工程设计公路行业（公路专业）乙级及以上资质。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3" w:hRule="atLeast"/>
          <w:jc w:val="center"/>
        </w:trPr>
        <w:tc>
          <w:tcPr>
            <w:tcW w:w="2003" w:type="dxa"/>
            <w:vAlign w:val="center"/>
          </w:tcPr>
          <w:p>
            <w:pPr>
              <w:pageBreakBefore w:val="0"/>
              <w:widowControl w:val="0"/>
              <w:kinsoku/>
              <w:wordWrap/>
              <w:overflowPunct/>
              <w:topLinePunct w:val="0"/>
              <w:bidi w:val="0"/>
              <w:adjustRightInd w:val="0"/>
              <w:snapToGrid w:val="0"/>
              <w:spacing w:line="400" w:lineRule="exact"/>
              <w:jc w:val="center"/>
              <w:textAlignment w:val="auto"/>
              <w:rPr>
                <w:rFonts w:hint="eastAsia" w:ascii="宋体" w:hAnsi="宋体" w:eastAsia="宋体" w:cs="宋体"/>
                <w:sz w:val="24"/>
                <w:szCs w:val="24"/>
              </w:rPr>
            </w:pPr>
            <w:bookmarkStart w:id="18" w:name="_Toc16072_WPSOffice_Level2"/>
            <w:bookmarkStart w:id="19" w:name="_Toc16839_WPSOffice_Level2"/>
            <w:bookmarkStart w:id="20" w:name="_Toc11628"/>
            <w:bookmarkStart w:id="21" w:name="_Toc6323_WPSOffice_Level2"/>
            <w:bookmarkStart w:id="22" w:name="_Toc509993813"/>
            <w:bookmarkStart w:id="23" w:name="_Toc234832865"/>
            <w:r>
              <w:rPr>
                <w:rFonts w:hint="eastAsia" w:ascii="宋体" w:hAnsi="宋体" w:eastAsia="宋体" w:cs="宋体"/>
                <w:sz w:val="24"/>
                <w:szCs w:val="24"/>
              </w:rPr>
              <w:t>E610901354686m7rojmr002</w:t>
            </w:r>
          </w:p>
        </w:tc>
        <w:tc>
          <w:tcPr>
            <w:tcW w:w="7215" w:type="dxa"/>
            <w:vMerge w:val="continue"/>
            <w:vAlign w:val="center"/>
          </w:tcPr>
          <w:p>
            <w:pPr>
              <w:pageBreakBefore w:val="0"/>
              <w:widowControl w:val="0"/>
              <w:kinsoku/>
              <w:wordWrap/>
              <w:overflowPunct/>
              <w:topLinePunct w:val="0"/>
              <w:bidi w:val="0"/>
              <w:adjustRightInd w:val="0"/>
              <w:snapToGrid w:val="0"/>
              <w:spacing w:line="400" w:lineRule="exact"/>
              <w:jc w:val="left"/>
              <w:textAlignment w:val="auto"/>
              <w:rPr>
                <w:rFonts w:hint="eastAsia" w:ascii="宋体" w:hAnsi="宋体" w:eastAsia="宋体" w:cs="宋体"/>
                <w:sz w:val="24"/>
                <w:szCs w:val="24"/>
              </w:rPr>
            </w:pPr>
          </w:p>
        </w:tc>
      </w:tr>
    </w:tbl>
    <w:p>
      <w:pPr>
        <w:pStyle w:val="3"/>
        <w:pageBreakBefore w:val="0"/>
        <w:widowControl w:val="0"/>
        <w:kinsoku/>
        <w:wordWrap/>
        <w:overflowPunct/>
        <w:topLinePunct w:val="0"/>
        <w:bidi w:val="0"/>
        <w:spacing w:before="0" w:after="0" w:line="400" w:lineRule="exact"/>
        <w:ind w:firstLine="480" w:firstLineChars="200"/>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w:t>
      </w:r>
      <w:bookmarkEnd w:id="18"/>
      <w:bookmarkEnd w:id="19"/>
      <w:bookmarkEnd w:id="20"/>
      <w:bookmarkEnd w:id="21"/>
      <w:bookmarkEnd w:id="22"/>
      <w:bookmarkEnd w:id="23"/>
      <w:r>
        <w:rPr>
          <w:rFonts w:hint="eastAsia" w:ascii="宋体" w:hAnsi="宋体" w:eastAsia="宋体" w:cs="宋体"/>
          <w:b w:val="0"/>
          <w:bCs w:val="0"/>
          <w:sz w:val="24"/>
          <w:szCs w:val="24"/>
        </w:rPr>
        <w:t>财务要求</w:t>
      </w:r>
    </w:p>
    <w:tbl>
      <w:tblPr>
        <w:tblStyle w:val="20"/>
        <w:tblW w:w="526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4"/>
        <w:gridCol w:w="7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1121" w:type="pct"/>
            <w:vAlign w:val="center"/>
          </w:tcPr>
          <w:p>
            <w:pPr>
              <w:pageBreakBefore w:val="0"/>
              <w:widowControl w:val="0"/>
              <w:kinsoku/>
              <w:wordWrap/>
              <w:overflowPunct/>
              <w:topLinePunct w:val="0"/>
              <w:bidi w:val="0"/>
              <w:adjustRightInd w:val="0"/>
              <w:snapToGrid w:val="0"/>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标段编号</w:t>
            </w:r>
          </w:p>
        </w:tc>
        <w:tc>
          <w:tcPr>
            <w:tcW w:w="3878" w:type="pct"/>
            <w:vAlign w:val="center"/>
          </w:tcPr>
          <w:p>
            <w:pPr>
              <w:pageBreakBefore w:val="0"/>
              <w:widowControl w:val="0"/>
              <w:kinsoku/>
              <w:wordWrap/>
              <w:overflowPunct/>
              <w:topLinePunct w:val="0"/>
              <w:bidi w:val="0"/>
              <w:adjustRightInd w:val="0"/>
              <w:snapToGrid w:val="0"/>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财 务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4" w:hRule="atLeast"/>
          <w:jc w:val="center"/>
        </w:trPr>
        <w:tc>
          <w:tcPr>
            <w:tcW w:w="1121" w:type="pct"/>
            <w:vAlign w:val="center"/>
          </w:tcPr>
          <w:p>
            <w:pPr>
              <w:pageBreakBefore w:val="0"/>
              <w:widowControl w:val="0"/>
              <w:kinsoku/>
              <w:wordWrap/>
              <w:overflowPunct/>
              <w:topLinePunct w:val="0"/>
              <w:bidi w:val="0"/>
              <w:adjustRightInd w:val="0"/>
              <w:snapToGrid w:val="0"/>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E610901354686m7rojmr001</w:t>
            </w:r>
          </w:p>
        </w:tc>
        <w:tc>
          <w:tcPr>
            <w:tcW w:w="3878" w:type="pct"/>
            <w:vMerge w:val="restart"/>
            <w:vAlign w:val="center"/>
          </w:tcPr>
          <w:p>
            <w:pPr>
              <w:pageBreakBefore w:val="0"/>
              <w:widowControl w:val="0"/>
              <w:kinsoku/>
              <w:wordWrap/>
              <w:overflowPunct/>
              <w:topLinePunct w:val="0"/>
              <w:bidi w:val="0"/>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投标人需提供2019年至今至少一年的财务审计报告（成立时间至提交响应文件截止时间不足1年的可提供成立后任意时段的资产负债表）或其基本存款账户开户银行出具的资信证明。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 w:hRule="atLeast"/>
          <w:jc w:val="center"/>
        </w:trPr>
        <w:tc>
          <w:tcPr>
            <w:tcW w:w="1121" w:type="pct"/>
            <w:vAlign w:val="center"/>
          </w:tcPr>
          <w:p>
            <w:pPr>
              <w:pageBreakBefore w:val="0"/>
              <w:widowControl w:val="0"/>
              <w:kinsoku/>
              <w:wordWrap/>
              <w:overflowPunct/>
              <w:topLinePunct w:val="0"/>
              <w:bidi w:val="0"/>
              <w:adjustRightInd w:val="0"/>
              <w:snapToGrid w:val="0"/>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E610901354686m7rojmr002</w:t>
            </w:r>
          </w:p>
        </w:tc>
        <w:tc>
          <w:tcPr>
            <w:tcW w:w="3878" w:type="pct"/>
            <w:vMerge w:val="continue"/>
            <w:vAlign w:val="center"/>
          </w:tcPr>
          <w:p>
            <w:pPr>
              <w:pageBreakBefore w:val="0"/>
              <w:widowControl w:val="0"/>
              <w:kinsoku/>
              <w:wordWrap/>
              <w:overflowPunct/>
              <w:topLinePunct w:val="0"/>
              <w:bidi w:val="0"/>
              <w:spacing w:line="400" w:lineRule="exac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3" w:hRule="atLeast"/>
          <w:jc w:val="center"/>
        </w:trPr>
        <w:tc>
          <w:tcPr>
            <w:tcW w:w="5000" w:type="pct"/>
            <w:gridSpan w:val="2"/>
            <w:vAlign w:val="center"/>
          </w:tcPr>
          <w:p>
            <w:pPr>
              <w:pageBreakBefore w:val="0"/>
              <w:widowControl w:val="0"/>
              <w:kinsoku/>
              <w:wordWrap/>
              <w:overflowPunct/>
              <w:topLinePunct w:val="0"/>
              <w:bidi w:val="0"/>
              <w:spacing w:line="400" w:lineRule="exact"/>
              <w:jc w:val="left"/>
              <w:textAlignment w:val="auto"/>
              <w:rPr>
                <w:rFonts w:hint="eastAsia" w:ascii="宋体" w:hAnsi="宋体" w:eastAsia="宋体" w:cs="宋体"/>
                <w:sz w:val="24"/>
                <w:szCs w:val="24"/>
              </w:rPr>
            </w:pPr>
            <w:r>
              <w:rPr>
                <w:rFonts w:hint="eastAsia" w:ascii="宋体" w:hAnsi="宋体" w:eastAsia="宋体" w:cs="宋体"/>
                <w:b/>
                <w:bCs/>
                <w:sz w:val="24"/>
                <w:szCs w:val="24"/>
              </w:rPr>
              <w:t>注：</w:t>
            </w:r>
            <w:r>
              <w:rPr>
                <w:rFonts w:hint="eastAsia" w:ascii="宋体" w:hAnsi="宋体" w:eastAsia="宋体" w:cs="宋体"/>
                <w:sz w:val="24"/>
                <w:szCs w:val="24"/>
              </w:rPr>
              <w:t>1.投标人应附 2019、2020、2021年中任意一年，经会计师事务所或审计机构审计的财务会计报表（财务会计报表应逐页盖有会计师事务所或审计机构章且清晰可辩，财务情况说明书或报表附注可不盖章），包括资产负债表、现金流量表、利润表和财务情况说明书（或报表附注）的复印件或扫描件。</w:t>
            </w:r>
          </w:p>
        </w:tc>
      </w:tr>
    </w:tbl>
    <w:p>
      <w:pPr>
        <w:pStyle w:val="3"/>
        <w:pageBreakBefore w:val="0"/>
        <w:widowControl w:val="0"/>
        <w:kinsoku/>
        <w:wordWrap/>
        <w:overflowPunct/>
        <w:topLinePunct w:val="0"/>
        <w:bidi w:val="0"/>
        <w:spacing w:before="0" w:after="0" w:line="400" w:lineRule="exact"/>
        <w:ind w:firstLine="480" w:firstLineChars="200"/>
        <w:jc w:val="both"/>
        <w:textAlignment w:val="auto"/>
        <w:rPr>
          <w:rFonts w:hint="eastAsia" w:ascii="宋体" w:hAnsi="宋体" w:eastAsia="宋体" w:cs="宋体"/>
          <w:b w:val="0"/>
          <w:bCs w:val="0"/>
          <w:sz w:val="24"/>
          <w:szCs w:val="24"/>
        </w:rPr>
      </w:pPr>
      <w:bookmarkStart w:id="24" w:name="_Toc509993814"/>
      <w:bookmarkStart w:id="25" w:name="_Toc234832866"/>
      <w:r>
        <w:rPr>
          <w:rFonts w:hint="eastAsia" w:ascii="宋体" w:hAnsi="宋体" w:eastAsia="宋体" w:cs="宋体"/>
          <w:b w:val="0"/>
          <w:bCs w:val="0"/>
          <w:sz w:val="24"/>
          <w:szCs w:val="24"/>
        </w:rPr>
        <w:t>（3）业绩要求</w:t>
      </w:r>
    </w:p>
    <w:tbl>
      <w:tblPr>
        <w:tblStyle w:val="20"/>
        <w:tblW w:w="521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0"/>
        <w:gridCol w:w="6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jc w:val="center"/>
        </w:trPr>
        <w:tc>
          <w:tcPr>
            <w:tcW w:w="1633" w:type="pct"/>
            <w:vAlign w:val="center"/>
          </w:tcPr>
          <w:p>
            <w:pPr>
              <w:pageBreakBefore w:val="0"/>
              <w:widowControl w:val="0"/>
              <w:kinsoku/>
              <w:wordWrap/>
              <w:overflowPunct/>
              <w:topLinePunct w:val="0"/>
              <w:bidi w:val="0"/>
              <w:adjustRightInd w:val="0"/>
              <w:snapToGrid w:val="0"/>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标段编号</w:t>
            </w:r>
          </w:p>
        </w:tc>
        <w:tc>
          <w:tcPr>
            <w:tcW w:w="3366" w:type="pct"/>
            <w:vAlign w:val="center"/>
          </w:tcPr>
          <w:p>
            <w:pPr>
              <w:pageBreakBefore w:val="0"/>
              <w:widowControl w:val="0"/>
              <w:kinsoku/>
              <w:wordWrap/>
              <w:overflowPunct/>
              <w:topLinePunct w:val="0"/>
              <w:bidi w:val="0"/>
              <w:adjustRightInd w:val="0"/>
              <w:snapToGrid w:val="0"/>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业 绩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jc w:val="center"/>
        </w:trPr>
        <w:tc>
          <w:tcPr>
            <w:tcW w:w="1633" w:type="pct"/>
            <w:vAlign w:val="center"/>
          </w:tcPr>
          <w:p>
            <w:pPr>
              <w:pageBreakBefore w:val="0"/>
              <w:widowControl w:val="0"/>
              <w:kinsoku/>
              <w:wordWrap/>
              <w:overflowPunct/>
              <w:topLinePunct w:val="0"/>
              <w:bidi w:val="0"/>
              <w:adjustRightInd w:val="0"/>
              <w:snapToGrid w:val="0"/>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E610901354686m7rojmr001</w:t>
            </w:r>
          </w:p>
        </w:tc>
        <w:tc>
          <w:tcPr>
            <w:tcW w:w="3366" w:type="pct"/>
            <w:vMerge w:val="restart"/>
            <w:vAlign w:val="center"/>
          </w:tcPr>
          <w:p>
            <w:pPr>
              <w:pageBreakBefore w:val="0"/>
              <w:widowControl w:val="0"/>
              <w:kinsoku/>
              <w:wordWrap/>
              <w:overflowPunct/>
              <w:topLinePunct w:val="0"/>
              <w:bidi w:val="0"/>
              <w:spacing w:line="4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投标人近5年内（2017年6月1日至2022年6月1日）至少完成过1项公路桥梁加固类似业绩。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633" w:type="pct"/>
            <w:vAlign w:val="center"/>
          </w:tcPr>
          <w:p>
            <w:pPr>
              <w:pageBreakBefore w:val="0"/>
              <w:widowControl w:val="0"/>
              <w:kinsoku/>
              <w:wordWrap/>
              <w:overflowPunct/>
              <w:topLinePunct w:val="0"/>
              <w:bidi w:val="0"/>
              <w:adjustRightInd w:val="0"/>
              <w:snapToGrid w:val="0"/>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E610901354686m7rojmr002</w:t>
            </w:r>
          </w:p>
        </w:tc>
        <w:tc>
          <w:tcPr>
            <w:tcW w:w="3366" w:type="pct"/>
            <w:vMerge w:val="continue"/>
            <w:vAlign w:val="center"/>
          </w:tcPr>
          <w:p>
            <w:pPr>
              <w:pageBreakBefore w:val="0"/>
              <w:widowControl w:val="0"/>
              <w:kinsoku/>
              <w:wordWrap/>
              <w:overflowPunct/>
              <w:topLinePunct w:val="0"/>
              <w:bidi w:val="0"/>
              <w:spacing w:line="400" w:lineRule="exac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jc w:val="center"/>
        </w:trPr>
        <w:tc>
          <w:tcPr>
            <w:tcW w:w="5000" w:type="pct"/>
            <w:gridSpan w:val="2"/>
            <w:vAlign w:val="center"/>
          </w:tcPr>
          <w:p>
            <w:pPr>
              <w:pageBreakBefore w:val="0"/>
              <w:widowControl w:val="0"/>
              <w:kinsoku/>
              <w:wordWrap/>
              <w:overflowPunct/>
              <w:topLinePunct w:val="0"/>
              <w:bidi w:val="0"/>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注：类似业绩指</w:t>
            </w:r>
            <w:r>
              <w:rPr>
                <w:rFonts w:hint="eastAsia" w:ascii="宋体" w:hAnsi="宋体" w:eastAsia="宋体" w:cs="宋体"/>
                <w:sz w:val="24"/>
                <w:szCs w:val="24"/>
                <w:lang w:eastAsia="zh-CN"/>
              </w:rPr>
              <w:t>承担危旧桥梁改造工程</w:t>
            </w:r>
            <w:r>
              <w:rPr>
                <w:rFonts w:hint="eastAsia" w:ascii="宋体" w:hAnsi="宋体" w:eastAsia="宋体" w:cs="宋体"/>
                <w:sz w:val="24"/>
                <w:szCs w:val="24"/>
              </w:rPr>
              <w:t>中所包含的公路桥梁设计、公路桥梁评估等相关业绩。（业绩证明材料需提供合同或中标通知书或委托人出具的业绩证明材料）</w:t>
            </w:r>
          </w:p>
        </w:tc>
      </w:tr>
    </w:tbl>
    <w:p>
      <w:pPr>
        <w:pStyle w:val="3"/>
        <w:pageBreakBefore w:val="0"/>
        <w:widowControl w:val="0"/>
        <w:kinsoku/>
        <w:wordWrap/>
        <w:overflowPunct/>
        <w:topLinePunct w:val="0"/>
        <w:bidi w:val="0"/>
        <w:spacing w:before="0" w:after="0" w:line="400" w:lineRule="exact"/>
        <w:ind w:firstLine="480" w:firstLineChars="200"/>
        <w:jc w:val="both"/>
        <w:textAlignment w:val="auto"/>
        <w:rPr>
          <w:rFonts w:hint="eastAsia" w:ascii="宋体" w:hAnsi="宋体" w:eastAsia="宋体" w:cs="宋体"/>
          <w:b w:val="0"/>
          <w:bCs w:val="0"/>
          <w:sz w:val="24"/>
          <w:szCs w:val="24"/>
        </w:rPr>
      </w:pPr>
      <w:bookmarkStart w:id="26" w:name="_Toc9147_WPSOffice_Level2"/>
      <w:bookmarkStart w:id="27" w:name="_Toc13172"/>
      <w:bookmarkStart w:id="28" w:name="_Toc27060_WPSOffice_Level2"/>
      <w:bookmarkStart w:id="29" w:name="_Toc770_WPSOffice_Level2"/>
      <w:r>
        <w:rPr>
          <w:rFonts w:hint="eastAsia" w:ascii="宋体" w:hAnsi="宋体" w:eastAsia="宋体" w:cs="宋体"/>
          <w:b w:val="0"/>
          <w:bCs w:val="0"/>
          <w:sz w:val="24"/>
          <w:szCs w:val="24"/>
        </w:rPr>
        <w:t>（</w:t>
      </w:r>
      <w:r>
        <w:rPr>
          <w:rFonts w:hint="eastAsia" w:ascii="宋体" w:hAnsi="宋体" w:eastAsia="宋体" w:cs="宋体"/>
          <w:b w:val="0"/>
          <w:bCs w:val="0"/>
          <w:sz w:val="24"/>
          <w:szCs w:val="24"/>
          <w:lang w:val="en-US" w:eastAsia="zh-CN"/>
        </w:rPr>
        <w:t>4</w:t>
      </w:r>
      <w:r>
        <w:rPr>
          <w:rFonts w:hint="eastAsia" w:ascii="宋体" w:hAnsi="宋体" w:eastAsia="宋体" w:cs="宋体"/>
          <w:b w:val="0"/>
          <w:bCs w:val="0"/>
          <w:sz w:val="24"/>
          <w:szCs w:val="24"/>
        </w:rPr>
        <w:t>）</w:t>
      </w:r>
      <w:bookmarkEnd w:id="24"/>
      <w:bookmarkEnd w:id="25"/>
      <w:bookmarkEnd w:id="26"/>
      <w:bookmarkEnd w:id="27"/>
      <w:bookmarkEnd w:id="28"/>
      <w:bookmarkEnd w:id="29"/>
      <w:r>
        <w:rPr>
          <w:rFonts w:hint="eastAsia" w:ascii="宋体" w:hAnsi="宋体" w:eastAsia="宋体" w:cs="宋体"/>
          <w:b w:val="0"/>
          <w:bCs w:val="0"/>
          <w:sz w:val="24"/>
          <w:szCs w:val="24"/>
        </w:rPr>
        <w:t>信誉要求</w:t>
      </w:r>
    </w:p>
    <w:tbl>
      <w:tblPr>
        <w:tblStyle w:val="20"/>
        <w:tblW w:w="92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6"/>
        <w:gridCol w:w="7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2126" w:type="dxa"/>
            <w:vAlign w:val="center"/>
          </w:tcPr>
          <w:p>
            <w:pPr>
              <w:pageBreakBefore w:val="0"/>
              <w:widowControl w:val="0"/>
              <w:kinsoku/>
              <w:wordWrap/>
              <w:overflowPunct/>
              <w:topLinePunct w:val="0"/>
              <w:bidi w:val="0"/>
              <w:adjustRightInd w:val="0"/>
              <w:snapToGrid w:val="0"/>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标段编号</w:t>
            </w:r>
          </w:p>
        </w:tc>
        <w:tc>
          <w:tcPr>
            <w:tcW w:w="7075" w:type="dxa"/>
            <w:vAlign w:val="center"/>
          </w:tcPr>
          <w:p>
            <w:pPr>
              <w:pageBreakBefore w:val="0"/>
              <w:widowControl w:val="0"/>
              <w:kinsoku/>
              <w:wordWrap/>
              <w:overflowPunct/>
              <w:topLinePunct w:val="0"/>
              <w:bidi w:val="0"/>
              <w:adjustRightInd w:val="0"/>
              <w:snapToGrid w:val="0"/>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信 誉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3" w:hRule="atLeast"/>
          <w:jc w:val="center"/>
        </w:trPr>
        <w:tc>
          <w:tcPr>
            <w:tcW w:w="2126" w:type="dxa"/>
            <w:vAlign w:val="center"/>
          </w:tcPr>
          <w:p>
            <w:pPr>
              <w:pageBreakBefore w:val="0"/>
              <w:widowControl w:val="0"/>
              <w:kinsoku/>
              <w:wordWrap/>
              <w:overflowPunct/>
              <w:topLinePunct w:val="0"/>
              <w:bidi w:val="0"/>
              <w:adjustRightInd w:val="0"/>
              <w:snapToGrid w:val="0"/>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E610901354686m7rojmr001</w:t>
            </w:r>
          </w:p>
        </w:tc>
        <w:tc>
          <w:tcPr>
            <w:tcW w:w="7075" w:type="dxa"/>
            <w:vMerge w:val="restart"/>
            <w:vAlign w:val="center"/>
          </w:tcPr>
          <w:p>
            <w:pPr>
              <w:pageBreakBefore w:val="0"/>
              <w:widowControl w:val="0"/>
              <w:kinsoku/>
              <w:wordWrap/>
              <w:overflowPunct/>
              <w:topLinePunct w:val="0"/>
              <w:autoSpaceDE w:val="0"/>
              <w:autoSpaceDN w:val="0"/>
              <w:bidi w:val="0"/>
              <w:snapToGrid w:val="0"/>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投标人存在下列不良状况或不良信用记录的单位，不得参加投标： </w:t>
            </w:r>
          </w:p>
          <w:p>
            <w:pPr>
              <w:pageBreakBefore w:val="0"/>
              <w:widowControl w:val="0"/>
              <w:kinsoku/>
              <w:wordWrap/>
              <w:overflowPunct/>
              <w:topLinePunct w:val="0"/>
              <w:autoSpaceDE w:val="0"/>
              <w:autoSpaceDN w:val="0"/>
              <w:bidi w:val="0"/>
              <w:snapToGrid w:val="0"/>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1.凡被交通运输部或陕西省交通运输主管部门取消或暂停在陕西省投标资格且在处罚期内的单位无资格参与本项目投标；</w:t>
            </w:r>
          </w:p>
          <w:p>
            <w:pPr>
              <w:pageBreakBefore w:val="0"/>
              <w:widowControl w:val="0"/>
              <w:kinsoku/>
              <w:wordWrap/>
              <w:overflowPunct/>
              <w:topLinePunct w:val="0"/>
              <w:autoSpaceDE w:val="0"/>
              <w:autoSpaceDN w:val="0"/>
              <w:bidi w:val="0"/>
              <w:snapToGrid w:val="0"/>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2.凡在交通运输部或陕西省交通运输厅或陕西省公路局最新年度公路设计企业信用评价结果中，被评为D级或曾被评为D级但处罚期限未过的单位无资格参与本项目投标；</w:t>
            </w:r>
          </w:p>
          <w:p>
            <w:pPr>
              <w:pageBreakBefore w:val="0"/>
              <w:widowControl w:val="0"/>
              <w:kinsoku/>
              <w:wordWrap/>
              <w:overflowPunct/>
              <w:topLinePunct w:val="0"/>
              <w:autoSpaceDE w:val="0"/>
              <w:autoSpaceDN w:val="0"/>
              <w:bidi w:val="0"/>
              <w:snapToGrid w:val="0"/>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3.被责令停业，暂扣或吊销执照，或吊销资质证书；</w:t>
            </w:r>
          </w:p>
          <w:p>
            <w:pPr>
              <w:pageBreakBefore w:val="0"/>
              <w:widowControl w:val="0"/>
              <w:kinsoku/>
              <w:wordWrap/>
              <w:overflowPunct/>
              <w:topLinePunct w:val="0"/>
              <w:autoSpaceDE w:val="0"/>
              <w:autoSpaceDN w:val="0"/>
              <w:bidi w:val="0"/>
              <w:snapToGrid w:val="0"/>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4. 进入清算程序，或被宣告破产，或其他丧失履约能力的情形； </w:t>
            </w:r>
          </w:p>
          <w:p>
            <w:pPr>
              <w:pageBreakBefore w:val="0"/>
              <w:widowControl w:val="0"/>
              <w:kinsoku/>
              <w:wordWrap/>
              <w:overflowPunct/>
              <w:topLinePunct w:val="0"/>
              <w:autoSpaceDE w:val="0"/>
              <w:autoSpaceDN w:val="0"/>
              <w:bidi w:val="0"/>
              <w:snapToGrid w:val="0"/>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5. 在国家企业信用信息公示系统（http://www.gsxt.gov.cn/）中被列入严重违法失信企业名单；在“信用中国”网站（http://www.creditchina.gov.cn/）中被列入失信被执行人名单； </w:t>
            </w:r>
          </w:p>
          <w:p>
            <w:pPr>
              <w:pageBreakBefore w:val="0"/>
              <w:widowControl w:val="0"/>
              <w:kinsoku/>
              <w:wordWrap/>
              <w:overflowPunct/>
              <w:topLinePunct w:val="0"/>
              <w:autoSpaceDE w:val="0"/>
              <w:autoSpaceDN w:val="0"/>
              <w:bidi w:val="0"/>
              <w:snapToGrid w:val="0"/>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6.投标人及其法定代表人、拟委任的项目经理、项目总工在近三年内有行贿犯罪行为的； </w:t>
            </w:r>
          </w:p>
          <w:p>
            <w:pPr>
              <w:pageBreakBefore w:val="0"/>
              <w:widowControl w:val="0"/>
              <w:kinsoku/>
              <w:wordWrap/>
              <w:overflowPunct/>
              <w:topLinePunct w:val="0"/>
              <w:autoSpaceDE w:val="0"/>
              <w:autoSpaceDN w:val="0"/>
              <w:bidi w:val="0"/>
              <w:snapToGrid w:val="0"/>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7.法律法规规定的其他情形。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4" w:hRule="atLeast"/>
          <w:jc w:val="center"/>
        </w:trPr>
        <w:tc>
          <w:tcPr>
            <w:tcW w:w="2126" w:type="dxa"/>
            <w:vAlign w:val="center"/>
          </w:tcPr>
          <w:p>
            <w:pPr>
              <w:adjustRightInd w:val="0"/>
              <w:snapToGrid w:val="0"/>
              <w:spacing w:line="400" w:lineRule="exact"/>
              <w:jc w:val="center"/>
              <w:rPr>
                <w:rFonts w:hint="eastAsia" w:ascii="宋体" w:hAnsi="宋体" w:eastAsia="宋体" w:cs="宋体"/>
                <w:sz w:val="24"/>
                <w:szCs w:val="24"/>
              </w:rPr>
            </w:pPr>
            <w:r>
              <w:rPr>
                <w:rFonts w:hint="eastAsia" w:ascii="宋体" w:hAnsi="宋体" w:eastAsia="宋体" w:cs="宋体"/>
                <w:sz w:val="24"/>
                <w:szCs w:val="24"/>
              </w:rPr>
              <w:t>E610901354686m7rojmr002</w:t>
            </w:r>
          </w:p>
        </w:tc>
        <w:tc>
          <w:tcPr>
            <w:tcW w:w="7075" w:type="dxa"/>
            <w:vMerge w:val="continue"/>
            <w:vAlign w:val="center"/>
          </w:tcPr>
          <w:p>
            <w:pPr>
              <w:autoSpaceDE w:val="0"/>
              <w:autoSpaceDN w:val="0"/>
              <w:snapToGrid w:val="0"/>
              <w:spacing w:line="44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5" w:hRule="atLeast"/>
          <w:jc w:val="center"/>
        </w:trPr>
        <w:tc>
          <w:tcPr>
            <w:tcW w:w="9201" w:type="dxa"/>
            <w:gridSpan w:val="2"/>
            <w:vAlign w:val="center"/>
          </w:tcPr>
          <w:p>
            <w:pPr>
              <w:autoSpaceDE w:val="0"/>
              <w:autoSpaceDN w:val="0"/>
              <w:snapToGrid w:val="0"/>
              <w:spacing w:line="440" w:lineRule="exact"/>
              <w:rPr>
                <w:rFonts w:hint="eastAsia" w:ascii="宋体" w:hAnsi="宋体" w:eastAsia="宋体" w:cs="宋体"/>
                <w:sz w:val="24"/>
                <w:szCs w:val="24"/>
              </w:rPr>
            </w:pPr>
            <w:r>
              <w:rPr>
                <w:rFonts w:hint="eastAsia" w:ascii="宋体" w:hAnsi="宋体" w:eastAsia="宋体" w:cs="宋体"/>
                <w:sz w:val="24"/>
                <w:szCs w:val="24"/>
              </w:rPr>
              <w:t xml:space="preserve">注：1.投标人须提供其在国家企业信用信息公示系统（http://www.gsxt.gov.cn/）中未被列入严重违法失信企业名单的网页截图复印件以供核查。 </w:t>
            </w:r>
          </w:p>
          <w:p>
            <w:pPr>
              <w:autoSpaceDE w:val="0"/>
              <w:autoSpaceDN w:val="0"/>
              <w:snapToGrid w:val="0"/>
              <w:spacing w:line="440" w:lineRule="exact"/>
              <w:rPr>
                <w:rFonts w:hint="eastAsia" w:ascii="宋体" w:hAnsi="宋体" w:eastAsia="宋体" w:cs="宋体"/>
                <w:sz w:val="24"/>
                <w:szCs w:val="24"/>
              </w:rPr>
            </w:pPr>
            <w:r>
              <w:rPr>
                <w:rFonts w:hint="eastAsia" w:ascii="宋体" w:hAnsi="宋体" w:eastAsia="宋体" w:cs="宋体"/>
                <w:sz w:val="24"/>
                <w:szCs w:val="24"/>
              </w:rPr>
              <w:t xml:space="preserve">2.投标人须提供其在“信用中国”网站（http://www.creditchina.gov.cn/）中未被列入失信被执行人名单的网页截图复印件以供核查。 </w:t>
            </w:r>
          </w:p>
          <w:p>
            <w:pPr>
              <w:autoSpaceDE w:val="0"/>
              <w:autoSpaceDN w:val="0"/>
              <w:snapToGrid w:val="0"/>
              <w:spacing w:line="440" w:lineRule="exact"/>
              <w:rPr>
                <w:rFonts w:hint="eastAsia" w:ascii="宋体" w:hAnsi="宋体" w:eastAsia="宋体" w:cs="宋体"/>
                <w:sz w:val="24"/>
                <w:szCs w:val="24"/>
              </w:rPr>
            </w:pPr>
            <w:r>
              <w:rPr>
                <w:rFonts w:hint="eastAsia" w:ascii="宋体" w:hAnsi="宋体" w:eastAsia="宋体" w:cs="宋体"/>
                <w:sz w:val="24"/>
                <w:szCs w:val="24"/>
              </w:rPr>
              <w:t>3.投标人须提供“中国裁判文书网”（http://wenshu.court.gov.cn/）投标人或法定代表人、拟委任的项目经理、项目总工均无行贿犯罪行为的查询结果截图复印件以供核查。</w:t>
            </w:r>
          </w:p>
        </w:tc>
      </w:tr>
    </w:tbl>
    <w:p>
      <w:pPr>
        <w:adjustRightInd w:val="0"/>
        <w:snapToGrid w:val="0"/>
        <w:spacing w:line="300" w:lineRule="exact"/>
        <w:rPr>
          <w:rFonts w:hint="eastAsia" w:ascii="宋体" w:hAnsi="宋体" w:eastAsia="宋体" w:cs="宋体"/>
          <w:sz w:val="24"/>
          <w:szCs w:val="24"/>
        </w:rPr>
      </w:pPr>
    </w:p>
    <w:p>
      <w:pPr>
        <w:ind w:firstLine="480" w:firstLineChars="200"/>
        <w:jc w:val="both"/>
        <w:rPr>
          <w:rFonts w:hint="eastAsia" w:ascii="宋体" w:hAnsi="宋体" w:eastAsia="宋体" w:cs="宋体"/>
          <w:kern w:val="44"/>
          <w:sz w:val="24"/>
          <w:szCs w:val="24"/>
        </w:rPr>
      </w:pPr>
      <w:bookmarkStart w:id="30" w:name="_Toc22584"/>
      <w:bookmarkStart w:id="31" w:name="_Toc24929_WPSOffice_Level2"/>
      <w:bookmarkStart w:id="32" w:name="_Toc14393_WPSOffice_Level2"/>
      <w:bookmarkStart w:id="33" w:name="_Toc21646_WPSOffice_Level2"/>
      <w:bookmarkStart w:id="34" w:name="_Toc234832867"/>
      <w:bookmarkStart w:id="35" w:name="_Toc509993815"/>
      <w:r>
        <w:rPr>
          <w:rFonts w:hint="eastAsia" w:ascii="宋体" w:hAnsi="宋体" w:eastAsia="宋体" w:cs="宋体"/>
          <w:kern w:val="44"/>
          <w:sz w:val="24"/>
          <w:szCs w:val="24"/>
        </w:rPr>
        <w:t>（5）</w:t>
      </w:r>
      <w:bookmarkEnd w:id="30"/>
      <w:bookmarkEnd w:id="31"/>
      <w:bookmarkEnd w:id="32"/>
      <w:bookmarkEnd w:id="33"/>
      <w:bookmarkEnd w:id="34"/>
      <w:bookmarkEnd w:id="35"/>
      <w:r>
        <w:rPr>
          <w:rFonts w:hint="eastAsia" w:ascii="宋体" w:hAnsi="宋体" w:eastAsia="宋体" w:cs="宋体"/>
          <w:kern w:val="44"/>
          <w:sz w:val="24"/>
          <w:szCs w:val="24"/>
        </w:rPr>
        <w:t>项目负责人要求</w:t>
      </w:r>
    </w:p>
    <w:p>
      <w:pPr>
        <w:pStyle w:val="19"/>
        <w:rPr>
          <w:rFonts w:hint="eastAsia" w:ascii="宋体" w:hAnsi="宋体" w:eastAsia="宋体" w:cs="宋体"/>
          <w:sz w:val="24"/>
          <w:szCs w:val="24"/>
        </w:rPr>
      </w:pPr>
    </w:p>
    <w:tbl>
      <w:tblPr>
        <w:tblStyle w:val="2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0"/>
        <w:gridCol w:w="1180"/>
        <w:gridCol w:w="909"/>
        <w:gridCol w:w="4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3" w:hRule="atLeast"/>
          <w:jc w:val="center"/>
        </w:trPr>
        <w:tc>
          <w:tcPr>
            <w:tcW w:w="1007"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标段编号</w:t>
            </w:r>
          </w:p>
        </w:tc>
        <w:tc>
          <w:tcPr>
            <w:tcW w:w="675" w:type="pct"/>
            <w:vAlign w:val="center"/>
          </w:tcPr>
          <w:p>
            <w:pPr>
              <w:adjustRightInd w:val="0"/>
              <w:snapToGrid w:val="0"/>
              <w:spacing w:line="300" w:lineRule="auto"/>
              <w:jc w:val="center"/>
              <w:rPr>
                <w:rFonts w:hint="eastAsia" w:ascii="宋体" w:hAnsi="宋体" w:eastAsia="宋体" w:cs="宋体"/>
                <w:sz w:val="24"/>
                <w:szCs w:val="24"/>
              </w:rPr>
            </w:pPr>
            <w:r>
              <w:rPr>
                <w:rFonts w:hint="eastAsia" w:ascii="宋体" w:hAnsi="宋体" w:eastAsia="宋体" w:cs="宋体"/>
                <w:sz w:val="24"/>
                <w:szCs w:val="24"/>
              </w:rPr>
              <w:t>人员</w:t>
            </w:r>
          </w:p>
        </w:tc>
        <w:tc>
          <w:tcPr>
            <w:tcW w:w="520" w:type="pct"/>
            <w:vAlign w:val="center"/>
          </w:tcPr>
          <w:p>
            <w:pPr>
              <w:adjustRightInd w:val="0"/>
              <w:snapToGrid w:val="0"/>
              <w:spacing w:line="300" w:lineRule="auto"/>
              <w:jc w:val="center"/>
              <w:rPr>
                <w:rFonts w:hint="eastAsia" w:ascii="宋体" w:hAnsi="宋体" w:eastAsia="宋体" w:cs="宋体"/>
                <w:sz w:val="24"/>
                <w:szCs w:val="24"/>
              </w:rPr>
            </w:pPr>
            <w:r>
              <w:rPr>
                <w:rFonts w:hint="eastAsia" w:ascii="宋体" w:hAnsi="宋体" w:eastAsia="宋体" w:cs="宋体"/>
                <w:sz w:val="24"/>
                <w:szCs w:val="24"/>
              </w:rPr>
              <w:t>数量</w:t>
            </w:r>
          </w:p>
        </w:tc>
        <w:tc>
          <w:tcPr>
            <w:tcW w:w="2796" w:type="pct"/>
            <w:vAlign w:val="center"/>
          </w:tcPr>
          <w:p>
            <w:pPr>
              <w:adjustRightInd w:val="0"/>
              <w:snapToGrid w:val="0"/>
              <w:spacing w:line="300" w:lineRule="auto"/>
              <w:jc w:val="center"/>
              <w:rPr>
                <w:rFonts w:hint="eastAsia" w:ascii="宋体" w:hAnsi="宋体" w:eastAsia="宋体" w:cs="宋体"/>
                <w:sz w:val="24"/>
                <w:szCs w:val="24"/>
              </w:rPr>
            </w:pPr>
            <w:r>
              <w:rPr>
                <w:rFonts w:hint="eastAsia" w:ascii="宋体" w:hAnsi="宋体" w:eastAsia="宋体" w:cs="宋体"/>
                <w:sz w:val="24"/>
                <w:szCs w:val="24"/>
              </w:rPr>
              <w:t>资 格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8" w:hRule="atLeast"/>
          <w:jc w:val="center"/>
        </w:trPr>
        <w:tc>
          <w:tcPr>
            <w:tcW w:w="1007" w:type="pct"/>
            <w:vAlign w:val="center"/>
          </w:tcPr>
          <w:p>
            <w:pPr>
              <w:adjustRightInd w:val="0"/>
              <w:snapToGrid w:val="0"/>
              <w:spacing w:line="400" w:lineRule="exact"/>
              <w:jc w:val="center"/>
              <w:rPr>
                <w:rFonts w:hint="eastAsia" w:ascii="宋体" w:hAnsi="宋体" w:eastAsia="宋体" w:cs="宋体"/>
                <w:sz w:val="24"/>
                <w:szCs w:val="24"/>
              </w:rPr>
            </w:pPr>
            <w:r>
              <w:rPr>
                <w:rFonts w:hint="eastAsia" w:ascii="宋体" w:hAnsi="宋体" w:eastAsia="宋体" w:cs="宋体"/>
                <w:sz w:val="24"/>
                <w:szCs w:val="24"/>
              </w:rPr>
              <w:t>E610901354686m7rojmr001</w:t>
            </w:r>
          </w:p>
        </w:tc>
        <w:tc>
          <w:tcPr>
            <w:tcW w:w="675" w:type="pct"/>
            <w:vMerge w:val="restart"/>
            <w:vAlign w:val="center"/>
          </w:tcPr>
          <w:p>
            <w:pPr>
              <w:spacing w:line="300" w:lineRule="auto"/>
              <w:jc w:val="center"/>
              <w:rPr>
                <w:rFonts w:hint="eastAsia" w:ascii="宋体" w:hAnsi="宋体" w:eastAsia="宋体" w:cs="宋体"/>
                <w:sz w:val="24"/>
                <w:szCs w:val="24"/>
              </w:rPr>
            </w:pPr>
            <w:r>
              <w:rPr>
                <w:rFonts w:hint="eastAsia" w:ascii="宋体" w:hAnsi="宋体" w:eastAsia="宋体" w:cs="宋体"/>
                <w:sz w:val="24"/>
                <w:szCs w:val="24"/>
              </w:rPr>
              <w:t>项目</w:t>
            </w:r>
          </w:p>
          <w:p>
            <w:pPr>
              <w:spacing w:line="300" w:lineRule="auto"/>
              <w:jc w:val="center"/>
              <w:rPr>
                <w:rFonts w:hint="eastAsia" w:ascii="宋体" w:hAnsi="宋体" w:eastAsia="宋体" w:cs="宋体"/>
                <w:sz w:val="24"/>
                <w:szCs w:val="24"/>
              </w:rPr>
            </w:pPr>
            <w:r>
              <w:rPr>
                <w:rFonts w:hint="eastAsia" w:ascii="宋体" w:hAnsi="宋体" w:eastAsia="宋体" w:cs="宋体"/>
                <w:sz w:val="24"/>
                <w:szCs w:val="24"/>
              </w:rPr>
              <w:t>负责人</w:t>
            </w:r>
          </w:p>
        </w:tc>
        <w:tc>
          <w:tcPr>
            <w:tcW w:w="520" w:type="pct"/>
            <w:vMerge w:val="restart"/>
            <w:vAlign w:val="center"/>
          </w:tcPr>
          <w:p>
            <w:pPr>
              <w:adjustRightInd w:val="0"/>
              <w:snapToGrid w:val="0"/>
              <w:spacing w:line="30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2796" w:type="pct"/>
            <w:vMerge w:val="restart"/>
            <w:vAlign w:val="center"/>
          </w:tcPr>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具有公路工程相关专业高级技术职称，至少担任过1项公路桥梁工程相关类似业绩的项目负责人。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0" w:hRule="atLeast"/>
          <w:jc w:val="center"/>
        </w:trPr>
        <w:tc>
          <w:tcPr>
            <w:tcW w:w="1007" w:type="pct"/>
            <w:vAlign w:val="center"/>
          </w:tcPr>
          <w:p>
            <w:pPr>
              <w:adjustRightInd w:val="0"/>
              <w:snapToGrid w:val="0"/>
              <w:spacing w:line="400" w:lineRule="exact"/>
              <w:jc w:val="center"/>
              <w:rPr>
                <w:rFonts w:hint="eastAsia" w:ascii="宋体" w:hAnsi="宋体" w:eastAsia="宋体" w:cs="宋体"/>
                <w:sz w:val="24"/>
                <w:szCs w:val="24"/>
              </w:rPr>
            </w:pPr>
            <w:r>
              <w:rPr>
                <w:rFonts w:hint="eastAsia" w:ascii="宋体" w:hAnsi="宋体" w:eastAsia="宋体" w:cs="宋体"/>
                <w:sz w:val="24"/>
                <w:szCs w:val="24"/>
              </w:rPr>
              <w:t>E610901354686m7rojmr002</w:t>
            </w:r>
          </w:p>
        </w:tc>
        <w:tc>
          <w:tcPr>
            <w:tcW w:w="675" w:type="pct"/>
            <w:vMerge w:val="continue"/>
            <w:vAlign w:val="center"/>
          </w:tcPr>
          <w:p>
            <w:pPr>
              <w:spacing w:line="300" w:lineRule="auto"/>
              <w:jc w:val="center"/>
              <w:rPr>
                <w:rFonts w:hint="eastAsia" w:ascii="宋体" w:hAnsi="宋体" w:eastAsia="宋体" w:cs="宋体"/>
                <w:sz w:val="24"/>
                <w:szCs w:val="24"/>
              </w:rPr>
            </w:pPr>
          </w:p>
        </w:tc>
        <w:tc>
          <w:tcPr>
            <w:tcW w:w="520" w:type="pct"/>
            <w:vMerge w:val="continue"/>
            <w:vAlign w:val="center"/>
          </w:tcPr>
          <w:p>
            <w:pPr>
              <w:adjustRightInd w:val="0"/>
              <w:snapToGrid w:val="0"/>
              <w:spacing w:line="300" w:lineRule="auto"/>
              <w:jc w:val="center"/>
              <w:rPr>
                <w:rFonts w:hint="eastAsia" w:ascii="宋体" w:hAnsi="宋体" w:eastAsia="宋体" w:cs="宋体"/>
                <w:sz w:val="24"/>
                <w:szCs w:val="24"/>
              </w:rPr>
            </w:pPr>
          </w:p>
        </w:tc>
        <w:tc>
          <w:tcPr>
            <w:tcW w:w="2796" w:type="pct"/>
            <w:vMerge w:val="continue"/>
            <w:vAlign w:val="center"/>
          </w:tcPr>
          <w:p>
            <w:pPr>
              <w:adjustRightInd w:val="0"/>
              <w:snapToGrid w:val="0"/>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1" w:hRule="atLeast"/>
          <w:jc w:val="center"/>
        </w:trPr>
        <w:tc>
          <w:tcPr>
            <w:tcW w:w="5000" w:type="pct"/>
            <w:gridSpan w:val="4"/>
            <w:vAlign w:val="center"/>
          </w:tcPr>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注：类似业绩指</w:t>
            </w:r>
            <w:r>
              <w:rPr>
                <w:rFonts w:hint="eastAsia" w:ascii="宋体" w:hAnsi="宋体" w:eastAsia="宋体" w:cs="宋体"/>
                <w:sz w:val="24"/>
                <w:szCs w:val="24"/>
                <w:lang w:eastAsia="zh-CN"/>
              </w:rPr>
              <w:t>承担危旧桥梁改造工程</w:t>
            </w:r>
            <w:r>
              <w:rPr>
                <w:rFonts w:hint="eastAsia" w:ascii="宋体" w:hAnsi="宋体" w:eastAsia="宋体" w:cs="宋体"/>
                <w:sz w:val="24"/>
                <w:szCs w:val="24"/>
              </w:rPr>
              <w:t>中所包含的公路桥梁设计、公路桥梁评估等相关业绩。（业绩证明材料需提供合同或中标通知书或委托人出具的项目负责人业绩证明材料）</w:t>
            </w:r>
          </w:p>
        </w:tc>
      </w:tr>
    </w:tbl>
    <w:p>
      <w:pPr>
        <w:adjustRightInd w:val="0"/>
        <w:snapToGrid w:val="0"/>
        <w:spacing w:line="240" w:lineRule="exact"/>
        <w:rPr>
          <w:rFonts w:ascii="新宋体" w:hAnsi="新宋体" w:eastAsia="新宋体" w:cs="新宋体"/>
          <w:sz w:val="32"/>
          <w:szCs w:val="32"/>
        </w:rPr>
      </w:pPr>
    </w:p>
    <w:p>
      <w:pPr>
        <w:pStyle w:val="18"/>
        <w:spacing w:before="0" w:beforeAutospacing="0" w:after="0" w:afterAutospacing="0" w:line="440" w:lineRule="exact"/>
        <w:rPr>
          <w:rFonts w:ascii="新宋体" w:hAnsi="新宋体" w:eastAsia="新宋体" w:cs="新宋体"/>
          <w:b/>
          <w:bCs/>
        </w:rPr>
      </w:pPr>
      <w:r>
        <w:rPr>
          <w:rFonts w:hint="eastAsia" w:ascii="新宋体" w:hAnsi="新宋体" w:eastAsia="新宋体" w:cs="新宋体"/>
          <w:b/>
          <w:bCs/>
          <w:color w:val="auto"/>
          <w:kern w:val="0"/>
          <w:sz w:val="24"/>
          <w:shd w:val="clear" w:color="auto" w:fill="FFFFFF"/>
          <w:lang w:val="en-US" w:eastAsia="zh-CN" w:bidi="ar"/>
        </w:rPr>
        <w:t>2</w:t>
      </w:r>
      <w:r>
        <w:rPr>
          <w:rFonts w:hint="eastAsia" w:ascii="新宋体" w:hAnsi="新宋体" w:eastAsia="新宋体" w:cs="新宋体"/>
          <w:b/>
          <w:bCs/>
          <w:color w:val="auto"/>
          <w:kern w:val="0"/>
          <w:sz w:val="24"/>
          <w:shd w:val="clear" w:color="auto" w:fill="FFFFFF"/>
          <w:lang w:bidi="ar"/>
        </w:rPr>
        <w:t>.</w:t>
      </w:r>
      <w:bookmarkEnd w:id="1"/>
      <w:bookmarkEnd w:id="11"/>
      <w:r>
        <w:rPr>
          <w:rFonts w:hint="eastAsia" w:ascii="新宋体" w:hAnsi="新宋体" w:eastAsia="新宋体" w:cs="新宋体"/>
          <w:b/>
          <w:bCs/>
        </w:rPr>
        <w:t>招标文件的获取</w:t>
      </w:r>
    </w:p>
    <w:p>
      <w:pPr>
        <w:pStyle w:val="18"/>
        <w:spacing w:before="0" w:beforeAutospacing="0" w:after="0" w:afterAutospacing="0" w:line="440" w:lineRule="exact"/>
        <w:ind w:firstLine="480" w:firstLineChars="200"/>
        <w:rPr>
          <w:rFonts w:ascii="新宋体" w:hAnsi="新宋体" w:eastAsia="新宋体" w:cs="新宋体"/>
        </w:rPr>
      </w:pPr>
      <w:r>
        <w:rPr>
          <w:rFonts w:hint="eastAsia" w:ascii="新宋体" w:hAnsi="新宋体" w:eastAsia="新宋体" w:cs="新宋体"/>
          <w:lang w:val="en-US" w:eastAsia="zh-CN"/>
        </w:rPr>
        <w:t>2</w:t>
      </w:r>
      <w:r>
        <w:rPr>
          <w:rFonts w:hint="eastAsia" w:ascii="新宋体" w:hAnsi="新宋体" w:eastAsia="新宋体" w:cs="新宋体"/>
        </w:rPr>
        <w:t>.1 凡有意参加投标者，请于 2022年</w:t>
      </w:r>
      <w:r>
        <w:rPr>
          <w:rFonts w:hint="default" w:ascii="新宋体" w:hAnsi="新宋体" w:eastAsia="新宋体" w:cs="新宋体"/>
          <w:lang w:val="en-US"/>
        </w:rPr>
        <w:t>8</w:t>
      </w:r>
      <w:r>
        <w:rPr>
          <w:rFonts w:hint="eastAsia" w:ascii="新宋体" w:hAnsi="新宋体" w:eastAsia="新宋体" w:cs="新宋体"/>
        </w:rPr>
        <w:t>月</w:t>
      </w:r>
      <w:r>
        <w:rPr>
          <w:rFonts w:hint="default" w:ascii="新宋体" w:hAnsi="新宋体" w:eastAsia="新宋体" w:cs="新宋体"/>
          <w:lang w:val="en-US"/>
        </w:rPr>
        <w:t>1</w:t>
      </w:r>
      <w:r>
        <w:rPr>
          <w:rFonts w:hint="eastAsia" w:ascii="新宋体" w:hAnsi="新宋体" w:eastAsia="新宋体" w:cs="新宋体"/>
        </w:rPr>
        <w:t>日 09时00分 至2022年</w:t>
      </w:r>
      <w:r>
        <w:rPr>
          <w:rFonts w:hint="default" w:ascii="新宋体" w:hAnsi="新宋体" w:eastAsia="新宋体" w:cs="新宋体"/>
          <w:lang w:val="en-US"/>
        </w:rPr>
        <w:t>8</w:t>
      </w:r>
      <w:r>
        <w:rPr>
          <w:rFonts w:hint="eastAsia" w:ascii="新宋体" w:hAnsi="新宋体" w:eastAsia="新宋体" w:cs="新宋体"/>
        </w:rPr>
        <w:t>月</w:t>
      </w:r>
      <w:r>
        <w:rPr>
          <w:rFonts w:hint="eastAsia" w:ascii="新宋体" w:hAnsi="新宋体" w:eastAsia="新宋体" w:cs="新宋体"/>
          <w:lang w:val="en-US" w:eastAsia="zh-CN"/>
        </w:rPr>
        <w:t>5</w:t>
      </w:r>
      <w:r>
        <w:rPr>
          <w:rFonts w:hint="eastAsia" w:ascii="新宋体" w:hAnsi="新宋体" w:eastAsia="新宋体" w:cs="新宋体"/>
        </w:rPr>
        <w:t xml:space="preserve">日 </w:t>
      </w:r>
      <w:r>
        <w:rPr>
          <w:rFonts w:hint="eastAsia" w:ascii="新宋体" w:hAnsi="新宋体" w:eastAsia="新宋体" w:cs="新宋体"/>
          <w:lang w:val="en-US" w:eastAsia="zh-CN"/>
        </w:rPr>
        <w:t>17</w:t>
      </w:r>
      <w:r>
        <w:rPr>
          <w:rFonts w:hint="eastAsia" w:ascii="新宋体" w:hAnsi="新宋体" w:eastAsia="新宋体" w:cs="新宋体"/>
        </w:rPr>
        <w:t>时00分（纸质标书发售期内每日1</w:t>
      </w:r>
      <w:r>
        <w:rPr>
          <w:rFonts w:ascii="新宋体" w:hAnsi="新宋体" w:eastAsia="新宋体" w:cs="新宋体"/>
        </w:rPr>
        <w:t>7</w:t>
      </w:r>
      <w:r>
        <w:rPr>
          <w:rFonts w:hint="eastAsia" w:ascii="新宋体" w:hAnsi="新宋体" w:eastAsia="新宋体" w:cs="新宋体"/>
        </w:rPr>
        <w:t>时至9时休息），在东方正博项目管理有限公司</w:t>
      </w:r>
      <w:r>
        <w:rPr>
          <w:rFonts w:hint="eastAsia" w:ascii="新宋体" w:hAnsi="新宋体" w:eastAsia="新宋体" w:cs="新宋体"/>
          <w:lang w:eastAsia="zh-CN"/>
        </w:rPr>
        <w:t>（安康市汉滨区城市风景</w:t>
      </w:r>
      <w:r>
        <w:rPr>
          <w:rFonts w:hint="eastAsia" w:ascii="新宋体" w:hAnsi="新宋体" w:eastAsia="新宋体" w:cs="新宋体"/>
          <w:lang w:val="en-US" w:eastAsia="zh-CN"/>
        </w:rPr>
        <w:t>1号楼北侧楼5楼</w:t>
      </w:r>
      <w:r>
        <w:rPr>
          <w:rFonts w:hint="eastAsia" w:ascii="新宋体" w:hAnsi="新宋体" w:eastAsia="新宋体" w:cs="新宋体"/>
          <w:lang w:eastAsia="zh-CN"/>
        </w:rPr>
        <w:t>）</w:t>
      </w:r>
      <w:r>
        <w:rPr>
          <w:rFonts w:hint="eastAsia" w:ascii="新宋体" w:hAnsi="新宋体" w:eastAsia="新宋体" w:cs="新宋体"/>
        </w:rPr>
        <w:t>持单位介绍信和经办人身份证原件（提供</w:t>
      </w:r>
      <w:r>
        <w:rPr>
          <w:rFonts w:hint="eastAsia" w:ascii="新宋体" w:hAnsi="新宋体" w:eastAsia="新宋体" w:cs="新宋体"/>
          <w:lang w:eastAsia="zh-CN"/>
        </w:rPr>
        <w:t>营业执照、资质证书彩印件</w:t>
      </w:r>
      <w:r>
        <w:rPr>
          <w:rFonts w:hint="eastAsia" w:ascii="新宋体" w:hAnsi="新宋体" w:eastAsia="新宋体" w:cs="新宋体"/>
        </w:rPr>
        <w:t>加盖单位公章一份）购买招标文件。</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before="0" w:beforeLines="150" w:after="0" w:afterLines="100" w:line="360" w:lineRule="auto"/>
        <w:ind w:left="-181" w:right="-181" w:firstLine="643" w:firstLineChars="200"/>
        <w:jc w:val="center"/>
        <w:textAlignment w:val="baseline"/>
        <w:rPr>
          <w:rFonts w:hint="eastAsia" w:ascii="新宋体" w:hAnsi="新宋体" w:eastAsia="新宋体" w:cs="新宋体"/>
          <w:b/>
          <w:bCs/>
          <w:snapToGrid w:val="0"/>
          <w:color w:val="000000"/>
          <w:sz w:val="32"/>
          <w:szCs w:val="24"/>
          <w:lang w:val="en-US" w:eastAsia="zh-CN" w:bidi="ar-SA"/>
        </w:rPr>
      </w:pPr>
      <w:r>
        <w:rPr>
          <w:rFonts w:hint="eastAsia" w:ascii="新宋体" w:hAnsi="新宋体" w:eastAsia="新宋体" w:cs="新宋体"/>
          <w:b/>
          <w:bCs/>
          <w:snapToGrid w:val="0"/>
          <w:color w:val="000000"/>
          <w:sz w:val="32"/>
          <w:szCs w:val="24"/>
          <w:lang w:val="en-US" w:eastAsia="zh-CN" w:bidi="ar-SA"/>
        </w:rPr>
        <w:t>投标人须知前附表</w:t>
      </w:r>
    </w:p>
    <w:tbl>
      <w:tblPr>
        <w:tblStyle w:val="20"/>
        <w:tblW w:w="9094" w:type="dxa"/>
        <w:tblInd w:w="0" w:type="dxa"/>
        <w:tblLayout w:type="fixed"/>
        <w:tblCellMar>
          <w:top w:w="0" w:type="dxa"/>
          <w:left w:w="108" w:type="dxa"/>
          <w:bottom w:w="0" w:type="dxa"/>
          <w:right w:w="108" w:type="dxa"/>
        </w:tblCellMar>
      </w:tblPr>
      <w:tblGrid>
        <w:gridCol w:w="1009"/>
        <w:gridCol w:w="2879"/>
        <w:gridCol w:w="5206"/>
      </w:tblGrid>
      <w:tr>
        <w:tblPrEx>
          <w:tblCellMar>
            <w:top w:w="0" w:type="dxa"/>
            <w:left w:w="108" w:type="dxa"/>
            <w:bottom w:w="0" w:type="dxa"/>
            <w:right w:w="108" w:type="dxa"/>
          </w:tblCellMar>
        </w:tblPrEx>
        <w:trPr>
          <w:tblHeader/>
        </w:trPr>
        <w:tc>
          <w:tcPr>
            <w:tcW w:w="10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Cs/>
                <w:sz w:val="24"/>
                <w:szCs w:val="24"/>
              </w:rPr>
            </w:pPr>
            <w:r>
              <w:rPr>
                <w:rFonts w:hint="eastAsia" w:ascii="宋体" w:hAnsi="宋体" w:eastAsia="宋体" w:cs="宋体"/>
                <w:bCs/>
                <w:sz w:val="24"/>
                <w:szCs w:val="24"/>
              </w:rPr>
              <w:t>条款号</w:t>
            </w:r>
          </w:p>
        </w:tc>
        <w:tc>
          <w:tcPr>
            <w:tcW w:w="28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Cs/>
                <w:sz w:val="24"/>
                <w:szCs w:val="24"/>
              </w:rPr>
            </w:pPr>
            <w:r>
              <w:rPr>
                <w:rFonts w:hint="eastAsia" w:ascii="宋体" w:hAnsi="宋体" w:eastAsia="宋体" w:cs="宋体"/>
                <w:bCs/>
                <w:sz w:val="24"/>
                <w:szCs w:val="24"/>
              </w:rPr>
              <w:t>条  款  名  称</w:t>
            </w:r>
          </w:p>
        </w:tc>
        <w:tc>
          <w:tcPr>
            <w:tcW w:w="52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Cs/>
                <w:sz w:val="24"/>
                <w:szCs w:val="24"/>
              </w:rPr>
            </w:pPr>
            <w:r>
              <w:rPr>
                <w:rFonts w:hint="eastAsia" w:ascii="宋体" w:hAnsi="宋体" w:eastAsia="宋体" w:cs="宋体"/>
                <w:bCs/>
                <w:sz w:val="24"/>
                <w:szCs w:val="24"/>
              </w:rPr>
              <w:t>编  列  内  容</w:t>
            </w:r>
          </w:p>
        </w:tc>
      </w:tr>
      <w:tr>
        <w:tblPrEx>
          <w:tblCellMar>
            <w:top w:w="0" w:type="dxa"/>
            <w:left w:w="108" w:type="dxa"/>
            <w:bottom w:w="0" w:type="dxa"/>
            <w:right w:w="108" w:type="dxa"/>
          </w:tblCellMar>
        </w:tblPrEx>
        <w:tc>
          <w:tcPr>
            <w:tcW w:w="10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1.1.2</w:t>
            </w:r>
          </w:p>
        </w:tc>
        <w:tc>
          <w:tcPr>
            <w:tcW w:w="28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招标人</w:t>
            </w:r>
          </w:p>
        </w:tc>
        <w:tc>
          <w:tcPr>
            <w:tcW w:w="520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 xml:space="preserve">名    称：安康市公路局 </w:t>
            </w:r>
          </w:p>
          <w:p>
            <w:pPr>
              <w:spacing w:line="400" w:lineRule="exact"/>
              <w:rPr>
                <w:rFonts w:hint="eastAsia" w:ascii="宋体" w:hAnsi="宋体" w:eastAsia="宋体" w:cs="宋体"/>
                <w:sz w:val="24"/>
                <w:szCs w:val="24"/>
              </w:rPr>
            </w:pPr>
            <w:r>
              <w:rPr>
                <w:rFonts w:hint="eastAsia" w:ascii="宋体" w:hAnsi="宋体" w:eastAsia="宋体" w:cs="宋体"/>
                <w:sz w:val="24"/>
                <w:szCs w:val="24"/>
              </w:rPr>
              <w:t xml:space="preserve">地    址：安康市汉滨区巴山中路101号   </w:t>
            </w:r>
          </w:p>
          <w:p>
            <w:pPr>
              <w:spacing w:line="400" w:lineRule="exact"/>
              <w:rPr>
                <w:rFonts w:hint="eastAsia" w:ascii="宋体" w:hAnsi="宋体" w:eastAsia="宋体" w:cs="宋体"/>
                <w:sz w:val="24"/>
                <w:szCs w:val="24"/>
              </w:rPr>
            </w:pPr>
            <w:r>
              <w:rPr>
                <w:rFonts w:hint="eastAsia" w:ascii="宋体" w:hAnsi="宋体" w:eastAsia="宋体" w:cs="宋体"/>
                <w:sz w:val="24"/>
                <w:szCs w:val="24"/>
              </w:rPr>
              <w:t>联 系 人：陈先生</w:t>
            </w:r>
          </w:p>
          <w:p>
            <w:pPr>
              <w:spacing w:line="400" w:lineRule="exact"/>
              <w:rPr>
                <w:rFonts w:hint="eastAsia" w:ascii="宋体" w:hAnsi="宋体" w:eastAsia="宋体" w:cs="宋体"/>
                <w:sz w:val="24"/>
                <w:szCs w:val="24"/>
              </w:rPr>
            </w:pPr>
            <w:r>
              <w:rPr>
                <w:rFonts w:hint="eastAsia" w:ascii="宋体" w:hAnsi="宋体" w:eastAsia="宋体" w:cs="宋体"/>
                <w:sz w:val="24"/>
                <w:szCs w:val="24"/>
              </w:rPr>
              <w:t xml:space="preserve">电    话：0915-3339000 </w:t>
            </w:r>
          </w:p>
        </w:tc>
      </w:tr>
      <w:tr>
        <w:trPr>
          <w:trHeight w:val="1855" w:hRule="atLeast"/>
        </w:trPr>
        <w:tc>
          <w:tcPr>
            <w:tcW w:w="10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1.1.3</w:t>
            </w:r>
          </w:p>
        </w:tc>
        <w:tc>
          <w:tcPr>
            <w:tcW w:w="28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招标代理机构</w:t>
            </w:r>
          </w:p>
        </w:tc>
        <w:tc>
          <w:tcPr>
            <w:tcW w:w="520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招标代理：</w:t>
            </w:r>
            <w:r>
              <w:rPr>
                <w:rFonts w:hint="eastAsia" w:ascii="宋体" w:hAnsi="宋体" w:eastAsia="宋体" w:cs="宋体"/>
                <w:kern w:val="0"/>
                <w:sz w:val="24"/>
                <w:szCs w:val="24"/>
                <w:shd w:val="clear" w:color="auto" w:fill="FFFFFF"/>
              </w:rPr>
              <w:t>东方正博项目管理有限公司</w:t>
            </w:r>
          </w:p>
          <w:p>
            <w:pPr>
              <w:spacing w:line="400" w:lineRule="exact"/>
              <w:rPr>
                <w:rFonts w:hint="eastAsia" w:ascii="宋体" w:hAnsi="宋体" w:eastAsia="宋体" w:cs="宋体"/>
                <w:kern w:val="0"/>
                <w:sz w:val="24"/>
                <w:szCs w:val="24"/>
                <w:shd w:val="clear" w:color="auto" w:fill="FFFFFF"/>
              </w:rPr>
            </w:pPr>
            <w:r>
              <w:rPr>
                <w:rFonts w:hint="eastAsia" w:ascii="宋体" w:hAnsi="宋体" w:eastAsia="宋体" w:cs="宋体"/>
                <w:sz w:val="24"/>
                <w:szCs w:val="24"/>
              </w:rPr>
              <w:t>地    址：</w:t>
            </w:r>
            <w:r>
              <w:rPr>
                <w:rFonts w:hint="eastAsia" w:ascii="宋体" w:hAnsi="宋体" w:eastAsia="宋体" w:cs="宋体"/>
                <w:spacing w:val="-17"/>
                <w:kern w:val="0"/>
                <w:sz w:val="24"/>
                <w:szCs w:val="24"/>
                <w:shd w:val="clear" w:color="auto" w:fill="FFFFFF"/>
              </w:rPr>
              <w:t>安康市汉滨区城市风景1号楼北侧楼5楼</w:t>
            </w:r>
          </w:p>
          <w:p>
            <w:pPr>
              <w:spacing w:line="400" w:lineRule="exact"/>
              <w:rPr>
                <w:rFonts w:hint="eastAsia"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联 系 人：熊玉兰</w:t>
            </w:r>
          </w:p>
          <w:p>
            <w:pPr>
              <w:spacing w:line="400" w:lineRule="exact"/>
              <w:rPr>
                <w:rFonts w:hint="eastAsia" w:ascii="宋体" w:hAnsi="宋体" w:eastAsia="宋体" w:cs="宋体"/>
                <w:sz w:val="24"/>
                <w:szCs w:val="24"/>
              </w:rPr>
            </w:pPr>
            <w:r>
              <w:rPr>
                <w:rFonts w:hint="eastAsia" w:ascii="宋体" w:hAnsi="宋体" w:eastAsia="宋体" w:cs="宋体"/>
                <w:sz w:val="24"/>
                <w:szCs w:val="24"/>
              </w:rPr>
              <w:t>电     话：0915-3291555/18710651540</w:t>
            </w:r>
          </w:p>
          <w:p>
            <w:pPr>
              <w:spacing w:line="400" w:lineRule="exact"/>
              <w:rPr>
                <w:rFonts w:hint="eastAsia" w:ascii="宋体" w:hAnsi="宋体" w:eastAsia="宋体" w:cs="宋体"/>
                <w:sz w:val="24"/>
                <w:szCs w:val="24"/>
              </w:rPr>
            </w:pPr>
            <w:r>
              <w:rPr>
                <w:rFonts w:hint="eastAsia" w:ascii="宋体" w:hAnsi="宋体" w:eastAsia="宋体" w:cs="宋体"/>
                <w:sz w:val="24"/>
                <w:szCs w:val="24"/>
              </w:rPr>
              <w:t>邮     箱：</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"mailto:754357714@qq.com" </w:instrText>
            </w:r>
            <w:r>
              <w:rPr>
                <w:rFonts w:hint="eastAsia" w:ascii="宋体" w:hAnsi="宋体" w:eastAsia="宋体" w:cs="宋体"/>
                <w:sz w:val="24"/>
                <w:szCs w:val="24"/>
              </w:rPr>
              <w:fldChar w:fldCharType="separate"/>
            </w:r>
            <w:r>
              <w:rPr>
                <w:rFonts w:hint="eastAsia" w:ascii="宋体" w:hAnsi="宋体" w:eastAsia="宋体" w:cs="宋体"/>
                <w:sz w:val="24"/>
                <w:szCs w:val="24"/>
              </w:rPr>
              <w:t>754357714@qq.com</w:t>
            </w:r>
            <w:r>
              <w:rPr>
                <w:rFonts w:hint="eastAsia" w:ascii="宋体" w:hAnsi="宋体" w:eastAsia="宋体" w:cs="宋体"/>
                <w:sz w:val="24"/>
                <w:szCs w:val="24"/>
              </w:rPr>
              <w:fldChar w:fldCharType="end"/>
            </w:r>
          </w:p>
        </w:tc>
      </w:tr>
      <w:tr>
        <w:trPr>
          <w:trHeight w:val="1500" w:hRule="atLeast"/>
        </w:trPr>
        <w:tc>
          <w:tcPr>
            <w:tcW w:w="10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1.1.4</w:t>
            </w:r>
          </w:p>
        </w:tc>
        <w:tc>
          <w:tcPr>
            <w:tcW w:w="28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招标项目名称</w:t>
            </w:r>
          </w:p>
        </w:tc>
        <w:tc>
          <w:tcPr>
            <w:tcW w:w="520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sz w:val="24"/>
                <w:szCs w:val="24"/>
              </w:rPr>
            </w:pPr>
            <w:r>
              <w:rPr>
                <w:rFonts w:hint="eastAsia" w:ascii="宋体" w:hAnsi="宋体" w:eastAsia="宋体" w:cs="宋体"/>
                <w:kern w:val="0"/>
                <w:sz w:val="24"/>
                <w:szCs w:val="24"/>
                <w:shd w:val="clear" w:color="auto" w:fill="FFFFFF"/>
              </w:rPr>
              <w:t>安康市普通国省干线公路瀛湖汉江大桥等4座通航桥梁船舶碰撞桥梁隐患治理工程通航安全风险评估、桥梁抗撞性能综合评估及施工图设计及预算</w:t>
            </w:r>
          </w:p>
        </w:tc>
      </w:tr>
      <w:tr>
        <w:tblPrEx>
          <w:tblCellMar>
            <w:top w:w="0" w:type="dxa"/>
            <w:left w:w="108" w:type="dxa"/>
            <w:bottom w:w="0" w:type="dxa"/>
            <w:right w:w="108" w:type="dxa"/>
          </w:tblCellMar>
        </w:tblPrEx>
        <w:tc>
          <w:tcPr>
            <w:tcW w:w="10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1.1.5</w:t>
            </w:r>
          </w:p>
        </w:tc>
        <w:tc>
          <w:tcPr>
            <w:tcW w:w="28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标段建设地点</w:t>
            </w:r>
          </w:p>
        </w:tc>
        <w:tc>
          <w:tcPr>
            <w:tcW w:w="520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陕西省安康市</w:t>
            </w:r>
          </w:p>
        </w:tc>
      </w:tr>
      <w:tr>
        <w:tblPrEx>
          <w:tblCellMar>
            <w:top w:w="0" w:type="dxa"/>
            <w:left w:w="108" w:type="dxa"/>
            <w:bottom w:w="0" w:type="dxa"/>
            <w:right w:w="108" w:type="dxa"/>
          </w:tblCellMar>
        </w:tblPrEx>
        <w:tc>
          <w:tcPr>
            <w:tcW w:w="10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1.1.6</w:t>
            </w:r>
          </w:p>
        </w:tc>
        <w:tc>
          <w:tcPr>
            <w:tcW w:w="28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标段建设规模</w:t>
            </w:r>
          </w:p>
        </w:tc>
        <w:tc>
          <w:tcPr>
            <w:tcW w:w="520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详见《第一章  招标公告》</w:t>
            </w:r>
          </w:p>
        </w:tc>
      </w:tr>
      <w:tr>
        <w:tblPrEx>
          <w:tblCellMar>
            <w:top w:w="0" w:type="dxa"/>
            <w:left w:w="108" w:type="dxa"/>
            <w:bottom w:w="0" w:type="dxa"/>
            <w:right w:w="108" w:type="dxa"/>
          </w:tblCellMar>
        </w:tblPrEx>
        <w:tc>
          <w:tcPr>
            <w:tcW w:w="10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1.1.7</w:t>
            </w:r>
          </w:p>
        </w:tc>
        <w:tc>
          <w:tcPr>
            <w:tcW w:w="28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标段投资估算</w:t>
            </w:r>
          </w:p>
        </w:tc>
        <w:tc>
          <w:tcPr>
            <w:tcW w:w="520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w:t>
            </w:r>
          </w:p>
        </w:tc>
      </w:tr>
      <w:tr>
        <w:tblPrEx>
          <w:tblCellMar>
            <w:top w:w="0" w:type="dxa"/>
            <w:left w:w="108" w:type="dxa"/>
            <w:bottom w:w="0" w:type="dxa"/>
            <w:right w:w="108" w:type="dxa"/>
          </w:tblCellMar>
        </w:tblPrEx>
        <w:trPr>
          <w:trHeight w:val="90" w:hRule="atLeast"/>
        </w:trPr>
        <w:tc>
          <w:tcPr>
            <w:tcW w:w="10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1.2.1</w:t>
            </w:r>
          </w:p>
        </w:tc>
        <w:tc>
          <w:tcPr>
            <w:tcW w:w="28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资金来源及比例</w:t>
            </w:r>
          </w:p>
        </w:tc>
        <w:tc>
          <w:tcPr>
            <w:tcW w:w="520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sz w:val="24"/>
                <w:szCs w:val="24"/>
              </w:rPr>
            </w:pPr>
            <w:r>
              <w:rPr>
                <w:rFonts w:hint="eastAsia" w:ascii="宋体" w:hAnsi="宋体" w:eastAsia="宋体" w:cs="宋体"/>
                <w:color w:val="auto"/>
                <w:sz w:val="24"/>
                <w:szCs w:val="24"/>
                <w:highlight w:val="none"/>
                <w:lang w:val="en-US" w:eastAsia="zh-CN"/>
              </w:rPr>
              <w:t>省级交通资金及自筹</w:t>
            </w:r>
          </w:p>
        </w:tc>
      </w:tr>
      <w:tr>
        <w:tblPrEx>
          <w:tblCellMar>
            <w:top w:w="0" w:type="dxa"/>
            <w:left w:w="108" w:type="dxa"/>
            <w:bottom w:w="0" w:type="dxa"/>
            <w:right w:w="108" w:type="dxa"/>
          </w:tblCellMar>
        </w:tblPrEx>
        <w:tc>
          <w:tcPr>
            <w:tcW w:w="10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1.2.2</w:t>
            </w:r>
          </w:p>
        </w:tc>
        <w:tc>
          <w:tcPr>
            <w:tcW w:w="28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资金落实情况</w:t>
            </w:r>
          </w:p>
        </w:tc>
        <w:tc>
          <w:tcPr>
            <w:tcW w:w="520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已落实</w:t>
            </w:r>
          </w:p>
        </w:tc>
      </w:tr>
      <w:tr>
        <w:tblPrEx>
          <w:tblCellMar>
            <w:top w:w="0" w:type="dxa"/>
            <w:left w:w="108" w:type="dxa"/>
            <w:bottom w:w="0" w:type="dxa"/>
            <w:right w:w="108" w:type="dxa"/>
          </w:tblCellMar>
        </w:tblPrEx>
        <w:tc>
          <w:tcPr>
            <w:tcW w:w="10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1.3.1</w:t>
            </w:r>
          </w:p>
        </w:tc>
        <w:tc>
          <w:tcPr>
            <w:tcW w:w="28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招标范围</w:t>
            </w:r>
          </w:p>
        </w:tc>
        <w:tc>
          <w:tcPr>
            <w:tcW w:w="520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详见《第一章  招标公告》</w:t>
            </w:r>
          </w:p>
        </w:tc>
      </w:tr>
      <w:tr>
        <w:tblPrEx>
          <w:tblCellMar>
            <w:top w:w="0" w:type="dxa"/>
            <w:left w:w="108" w:type="dxa"/>
            <w:bottom w:w="0" w:type="dxa"/>
            <w:right w:w="108" w:type="dxa"/>
          </w:tblCellMar>
        </w:tblPrEx>
        <w:tc>
          <w:tcPr>
            <w:tcW w:w="10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1.3.2</w:t>
            </w:r>
          </w:p>
        </w:tc>
        <w:tc>
          <w:tcPr>
            <w:tcW w:w="28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勘察设计服务期限</w:t>
            </w:r>
          </w:p>
        </w:tc>
        <w:tc>
          <w:tcPr>
            <w:tcW w:w="520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详见招标公告，详细进度要求见合同条款内容。</w:t>
            </w:r>
          </w:p>
        </w:tc>
      </w:tr>
      <w:tr>
        <w:tblPrEx>
          <w:tblCellMar>
            <w:top w:w="0" w:type="dxa"/>
            <w:left w:w="108" w:type="dxa"/>
            <w:bottom w:w="0" w:type="dxa"/>
            <w:right w:w="108" w:type="dxa"/>
          </w:tblCellMar>
        </w:tblPrEx>
        <w:tc>
          <w:tcPr>
            <w:tcW w:w="10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1.3.3</w:t>
            </w:r>
          </w:p>
        </w:tc>
        <w:tc>
          <w:tcPr>
            <w:tcW w:w="28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质量要求</w:t>
            </w:r>
          </w:p>
        </w:tc>
        <w:tc>
          <w:tcPr>
            <w:tcW w:w="520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服务质量达到国家相关规定标准，并通过审批。</w:t>
            </w:r>
          </w:p>
        </w:tc>
      </w:tr>
      <w:tr>
        <w:tblPrEx>
          <w:tblCellMar>
            <w:top w:w="0" w:type="dxa"/>
            <w:left w:w="108" w:type="dxa"/>
            <w:bottom w:w="0" w:type="dxa"/>
            <w:right w:w="108" w:type="dxa"/>
          </w:tblCellMar>
        </w:tblPrEx>
        <w:tc>
          <w:tcPr>
            <w:tcW w:w="10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bCs/>
                <w:sz w:val="24"/>
                <w:szCs w:val="24"/>
              </w:rPr>
              <w:t>1.3.4</w:t>
            </w:r>
          </w:p>
        </w:tc>
        <w:tc>
          <w:tcPr>
            <w:tcW w:w="28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安全目标</w:t>
            </w:r>
          </w:p>
        </w:tc>
        <w:tc>
          <w:tcPr>
            <w:tcW w:w="5206" w:type="dxa"/>
            <w:tcBorders>
              <w:top w:val="single" w:color="auto" w:sz="4" w:space="0"/>
              <w:left w:val="single" w:color="auto" w:sz="4" w:space="0"/>
              <w:bottom w:val="single" w:color="auto" w:sz="4" w:space="0"/>
              <w:right w:val="single" w:color="auto" w:sz="4" w:space="0"/>
            </w:tcBorders>
            <w:vAlign w:val="center"/>
          </w:tcPr>
          <w:p>
            <w:pPr>
              <w:pStyle w:val="10"/>
              <w:topLinePunct/>
              <w:spacing w:line="400" w:lineRule="exact"/>
              <w:rPr>
                <w:rFonts w:hint="eastAsia" w:ascii="宋体" w:hAnsi="宋体" w:eastAsia="宋体" w:cs="宋体"/>
                <w:sz w:val="24"/>
                <w:szCs w:val="24"/>
              </w:rPr>
            </w:pPr>
            <w:r>
              <w:rPr>
                <w:rFonts w:hint="eastAsia" w:ascii="宋体" w:hAnsi="宋体" w:eastAsia="宋体" w:cs="宋体"/>
                <w:sz w:val="24"/>
                <w:szCs w:val="24"/>
              </w:rPr>
              <w:t>服务过程中无人员伤亡、无安全事故。</w:t>
            </w:r>
          </w:p>
        </w:tc>
      </w:tr>
      <w:tr>
        <w:tblPrEx>
          <w:tblCellMar>
            <w:top w:w="0" w:type="dxa"/>
            <w:left w:w="108" w:type="dxa"/>
            <w:bottom w:w="0" w:type="dxa"/>
            <w:right w:w="108" w:type="dxa"/>
          </w:tblCellMar>
        </w:tblPrEx>
        <w:trPr>
          <w:trHeight w:val="2220" w:hRule="atLeast"/>
        </w:trPr>
        <w:tc>
          <w:tcPr>
            <w:tcW w:w="10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br w:type="page"/>
            </w:r>
            <w:r>
              <w:rPr>
                <w:rFonts w:hint="eastAsia" w:ascii="宋体" w:hAnsi="宋体" w:eastAsia="宋体" w:cs="宋体"/>
                <w:sz w:val="24"/>
                <w:szCs w:val="24"/>
              </w:rPr>
              <w:t>1.4.1</w:t>
            </w:r>
          </w:p>
        </w:tc>
        <w:tc>
          <w:tcPr>
            <w:tcW w:w="28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投标人资质条件、能力和信誉</w:t>
            </w:r>
          </w:p>
        </w:tc>
        <w:tc>
          <w:tcPr>
            <w:tcW w:w="5206" w:type="dxa"/>
            <w:tcBorders>
              <w:top w:val="single" w:color="auto" w:sz="4" w:space="0"/>
              <w:left w:val="single" w:color="auto" w:sz="4" w:space="0"/>
              <w:bottom w:val="single" w:color="auto" w:sz="4" w:space="0"/>
              <w:right w:val="single" w:color="auto" w:sz="4" w:space="0"/>
            </w:tcBorders>
            <w:vAlign w:val="center"/>
          </w:tcPr>
          <w:p>
            <w:pPr>
              <w:pStyle w:val="10"/>
              <w:topLinePunct/>
              <w:spacing w:line="360" w:lineRule="exact"/>
              <w:rPr>
                <w:rFonts w:hint="eastAsia" w:ascii="宋体" w:hAnsi="宋体" w:eastAsia="宋体" w:cs="宋体"/>
                <w:sz w:val="24"/>
                <w:szCs w:val="24"/>
              </w:rPr>
            </w:pPr>
            <w:r>
              <w:rPr>
                <w:rFonts w:hint="eastAsia" w:ascii="宋体" w:hAnsi="宋体" w:eastAsia="宋体" w:cs="宋体"/>
                <w:sz w:val="24"/>
                <w:szCs w:val="24"/>
              </w:rPr>
              <w:t>资质要求：见附录1</w:t>
            </w:r>
          </w:p>
          <w:p>
            <w:pPr>
              <w:pStyle w:val="10"/>
              <w:topLinePunct/>
              <w:spacing w:line="360" w:lineRule="exact"/>
              <w:rPr>
                <w:rFonts w:hint="eastAsia" w:ascii="宋体" w:hAnsi="宋体" w:eastAsia="宋体" w:cs="宋体"/>
                <w:sz w:val="24"/>
                <w:szCs w:val="24"/>
              </w:rPr>
            </w:pPr>
            <w:r>
              <w:rPr>
                <w:rFonts w:hint="eastAsia" w:ascii="宋体" w:hAnsi="宋体" w:eastAsia="宋体" w:cs="宋体"/>
                <w:sz w:val="24"/>
                <w:szCs w:val="24"/>
              </w:rPr>
              <w:t>财务要求：见附录2</w:t>
            </w:r>
          </w:p>
          <w:p>
            <w:pPr>
              <w:pStyle w:val="10"/>
              <w:topLinePunct/>
              <w:spacing w:line="360" w:lineRule="exact"/>
              <w:rPr>
                <w:rFonts w:hint="eastAsia" w:ascii="宋体" w:hAnsi="宋体" w:eastAsia="宋体" w:cs="宋体"/>
                <w:sz w:val="24"/>
                <w:szCs w:val="24"/>
              </w:rPr>
            </w:pPr>
            <w:r>
              <w:rPr>
                <w:rFonts w:hint="eastAsia" w:ascii="宋体" w:hAnsi="宋体" w:eastAsia="宋体" w:cs="宋体"/>
                <w:sz w:val="24"/>
                <w:szCs w:val="24"/>
              </w:rPr>
              <w:t>业绩要求：见附录3</w:t>
            </w:r>
          </w:p>
          <w:p>
            <w:pPr>
              <w:pStyle w:val="10"/>
              <w:topLinePunct/>
              <w:spacing w:line="360" w:lineRule="exact"/>
              <w:rPr>
                <w:rFonts w:hint="eastAsia" w:ascii="宋体" w:hAnsi="宋体" w:eastAsia="宋体" w:cs="宋体"/>
                <w:sz w:val="24"/>
                <w:szCs w:val="24"/>
              </w:rPr>
            </w:pPr>
            <w:r>
              <w:rPr>
                <w:rFonts w:hint="eastAsia" w:ascii="宋体" w:hAnsi="宋体" w:eastAsia="宋体" w:cs="宋体"/>
                <w:sz w:val="24"/>
                <w:szCs w:val="24"/>
              </w:rPr>
              <w:t>信誉要求：见附录4</w:t>
            </w:r>
          </w:p>
          <w:p>
            <w:pPr>
              <w:pStyle w:val="10"/>
              <w:topLinePunct/>
              <w:spacing w:line="360" w:lineRule="exact"/>
              <w:rPr>
                <w:rFonts w:hint="eastAsia" w:ascii="宋体" w:hAnsi="宋体" w:eastAsia="宋体" w:cs="宋体"/>
                <w:sz w:val="24"/>
                <w:szCs w:val="24"/>
              </w:rPr>
            </w:pPr>
            <w:r>
              <w:rPr>
                <w:rFonts w:hint="eastAsia" w:ascii="宋体" w:hAnsi="宋体" w:eastAsia="宋体" w:cs="宋体"/>
                <w:sz w:val="24"/>
                <w:szCs w:val="24"/>
              </w:rPr>
              <w:t>项目负责人资格：附录5</w:t>
            </w:r>
          </w:p>
          <w:p>
            <w:pPr>
              <w:spacing w:line="360" w:lineRule="exact"/>
              <w:rPr>
                <w:rFonts w:hint="eastAsia" w:ascii="宋体" w:hAnsi="宋体" w:eastAsia="宋体" w:cs="宋体"/>
                <w:sz w:val="24"/>
                <w:szCs w:val="24"/>
              </w:rPr>
            </w:pPr>
            <w:r>
              <w:rPr>
                <w:rFonts w:hint="eastAsia" w:ascii="宋体" w:hAnsi="宋体" w:eastAsia="宋体" w:cs="宋体"/>
                <w:sz w:val="24"/>
                <w:szCs w:val="24"/>
              </w:rPr>
              <w:t>其他要求：无</w:t>
            </w:r>
          </w:p>
        </w:tc>
      </w:tr>
      <w:tr>
        <w:tblPrEx>
          <w:tblCellMar>
            <w:top w:w="0" w:type="dxa"/>
            <w:left w:w="108" w:type="dxa"/>
            <w:bottom w:w="0" w:type="dxa"/>
            <w:right w:w="108" w:type="dxa"/>
          </w:tblCellMar>
        </w:tblPrEx>
        <w:trPr>
          <w:trHeight w:val="650" w:hRule="atLeast"/>
        </w:trPr>
        <w:tc>
          <w:tcPr>
            <w:tcW w:w="10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1.4.2</w:t>
            </w:r>
          </w:p>
        </w:tc>
        <w:tc>
          <w:tcPr>
            <w:tcW w:w="28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是否接受联合体投标</w:t>
            </w:r>
          </w:p>
        </w:tc>
        <w:tc>
          <w:tcPr>
            <w:tcW w:w="520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不接受</w:t>
            </w:r>
          </w:p>
        </w:tc>
      </w:tr>
      <w:tr>
        <w:tblPrEx>
          <w:tblCellMar>
            <w:top w:w="0" w:type="dxa"/>
            <w:left w:w="108" w:type="dxa"/>
            <w:bottom w:w="0" w:type="dxa"/>
            <w:right w:w="108" w:type="dxa"/>
          </w:tblCellMar>
        </w:tblPrEx>
        <w:tc>
          <w:tcPr>
            <w:tcW w:w="10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1.4.3</w:t>
            </w:r>
          </w:p>
        </w:tc>
        <w:tc>
          <w:tcPr>
            <w:tcW w:w="28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投标人不得存在的其他关联情形</w:t>
            </w:r>
          </w:p>
        </w:tc>
        <w:tc>
          <w:tcPr>
            <w:tcW w:w="520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spacing w:val="10"/>
                <w:sz w:val="24"/>
                <w:szCs w:val="24"/>
                <w:bdr w:val="single" w:color="auto" w:sz="4" w:space="0"/>
              </w:rPr>
            </w:pPr>
            <w:r>
              <w:rPr>
                <w:rFonts w:hint="eastAsia" w:ascii="宋体" w:hAnsi="宋体" w:eastAsia="宋体" w:cs="宋体"/>
                <w:sz w:val="24"/>
                <w:szCs w:val="24"/>
              </w:rPr>
              <w:t>无</w:t>
            </w:r>
          </w:p>
        </w:tc>
      </w:tr>
      <w:tr>
        <w:tblPrEx>
          <w:tblCellMar>
            <w:top w:w="0" w:type="dxa"/>
            <w:left w:w="108" w:type="dxa"/>
            <w:bottom w:w="0" w:type="dxa"/>
            <w:right w:w="108" w:type="dxa"/>
          </w:tblCellMar>
        </w:tblPrEx>
        <w:trPr>
          <w:trHeight w:val="90" w:hRule="atLeast"/>
        </w:trPr>
        <w:tc>
          <w:tcPr>
            <w:tcW w:w="10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1.4.4</w:t>
            </w:r>
          </w:p>
        </w:tc>
        <w:tc>
          <w:tcPr>
            <w:tcW w:w="28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投标人不得存在的其他不良状况或不良信用记录</w:t>
            </w:r>
          </w:p>
        </w:tc>
        <w:tc>
          <w:tcPr>
            <w:tcW w:w="520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投标人及其法定代表人、拟委任的项目负责人在近三年内有行贿犯罪行为的；</w:t>
            </w:r>
          </w:p>
        </w:tc>
      </w:tr>
      <w:tr>
        <w:tblPrEx>
          <w:tblCellMar>
            <w:top w:w="0" w:type="dxa"/>
            <w:left w:w="108" w:type="dxa"/>
            <w:bottom w:w="0" w:type="dxa"/>
            <w:right w:w="108" w:type="dxa"/>
          </w:tblCellMar>
        </w:tblPrEx>
        <w:trPr>
          <w:trHeight w:val="822" w:hRule="atLeast"/>
        </w:trPr>
        <w:tc>
          <w:tcPr>
            <w:tcW w:w="1009" w:type="dxa"/>
            <w:tcBorders>
              <w:top w:val="single" w:color="auto" w:sz="4" w:space="0"/>
              <w:left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1.10.2</w:t>
            </w:r>
          </w:p>
        </w:tc>
        <w:tc>
          <w:tcPr>
            <w:tcW w:w="2879" w:type="dxa"/>
            <w:tcBorders>
              <w:top w:val="single" w:color="auto" w:sz="4" w:space="0"/>
              <w:left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投标人在投标预备会前提出问题</w:t>
            </w:r>
          </w:p>
        </w:tc>
        <w:tc>
          <w:tcPr>
            <w:tcW w:w="520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不适用</w:t>
            </w:r>
          </w:p>
        </w:tc>
      </w:tr>
      <w:tr>
        <w:tblPrEx>
          <w:tblCellMar>
            <w:top w:w="0" w:type="dxa"/>
            <w:left w:w="108" w:type="dxa"/>
            <w:bottom w:w="0" w:type="dxa"/>
            <w:right w:w="108" w:type="dxa"/>
          </w:tblCellMar>
        </w:tblPrEx>
        <w:trPr>
          <w:trHeight w:val="515" w:hRule="atLeast"/>
        </w:trPr>
        <w:tc>
          <w:tcPr>
            <w:tcW w:w="10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1.11.1</w:t>
            </w:r>
          </w:p>
        </w:tc>
        <w:tc>
          <w:tcPr>
            <w:tcW w:w="28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分  包</w:t>
            </w:r>
          </w:p>
        </w:tc>
        <w:tc>
          <w:tcPr>
            <w:tcW w:w="520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不允许</w:t>
            </w:r>
          </w:p>
        </w:tc>
      </w:tr>
      <w:tr>
        <w:tblPrEx>
          <w:tblCellMar>
            <w:top w:w="0" w:type="dxa"/>
            <w:left w:w="108" w:type="dxa"/>
            <w:bottom w:w="0" w:type="dxa"/>
            <w:right w:w="108" w:type="dxa"/>
          </w:tblCellMar>
        </w:tblPrEx>
        <w:trPr>
          <w:trHeight w:val="429" w:hRule="atLeast"/>
        </w:trPr>
        <w:tc>
          <w:tcPr>
            <w:tcW w:w="10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2.1</w:t>
            </w:r>
          </w:p>
        </w:tc>
        <w:tc>
          <w:tcPr>
            <w:tcW w:w="28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构成招标文件的其他资料</w:t>
            </w:r>
          </w:p>
        </w:tc>
        <w:tc>
          <w:tcPr>
            <w:tcW w:w="520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补遗书、澄清文件（如有）</w:t>
            </w:r>
          </w:p>
        </w:tc>
      </w:tr>
      <w:tr>
        <w:tblPrEx>
          <w:tblCellMar>
            <w:top w:w="0" w:type="dxa"/>
            <w:left w:w="108" w:type="dxa"/>
            <w:bottom w:w="0" w:type="dxa"/>
            <w:right w:w="108" w:type="dxa"/>
          </w:tblCellMar>
        </w:tblPrEx>
        <w:trPr>
          <w:trHeight w:val="350" w:hRule="atLeast"/>
        </w:trPr>
        <w:tc>
          <w:tcPr>
            <w:tcW w:w="1009" w:type="dxa"/>
            <w:vMerge w:val="restart"/>
            <w:tcBorders>
              <w:top w:val="single" w:color="auto" w:sz="4" w:space="0"/>
              <w:left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2.2.1</w:t>
            </w:r>
          </w:p>
        </w:tc>
        <w:tc>
          <w:tcPr>
            <w:tcW w:w="2879" w:type="dxa"/>
            <w:vMerge w:val="restart"/>
            <w:tcBorders>
              <w:top w:val="single" w:color="auto" w:sz="4" w:space="0"/>
              <w:left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投标人要求澄清招标文件</w:t>
            </w:r>
          </w:p>
        </w:tc>
        <w:tc>
          <w:tcPr>
            <w:tcW w:w="520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时间：递交投标文件截止之日15天前</w:t>
            </w:r>
          </w:p>
        </w:tc>
      </w:tr>
      <w:tr>
        <w:tblPrEx>
          <w:tblCellMar>
            <w:top w:w="0" w:type="dxa"/>
            <w:left w:w="108" w:type="dxa"/>
            <w:bottom w:w="0" w:type="dxa"/>
            <w:right w:w="108" w:type="dxa"/>
          </w:tblCellMar>
        </w:tblPrEx>
        <w:trPr>
          <w:trHeight w:val="350" w:hRule="atLeast"/>
        </w:trPr>
        <w:tc>
          <w:tcPr>
            <w:tcW w:w="1009" w:type="dxa"/>
            <w:vMerge w:val="continue"/>
            <w:tcBorders>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p>
        </w:tc>
        <w:tc>
          <w:tcPr>
            <w:tcW w:w="2879" w:type="dxa"/>
            <w:vMerge w:val="continue"/>
            <w:tcBorders>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p>
        </w:tc>
        <w:tc>
          <w:tcPr>
            <w:tcW w:w="520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形式：投标人如有疑问，</w:t>
            </w:r>
            <w:r>
              <w:rPr>
                <w:rFonts w:hint="eastAsia" w:ascii="宋体" w:hAnsi="宋体" w:eastAsia="宋体" w:cs="宋体"/>
                <w:kern w:val="0"/>
                <w:sz w:val="24"/>
                <w:szCs w:val="24"/>
                <w:shd w:val="clear" w:color="auto" w:fill="FFFFFF"/>
              </w:rPr>
              <w:t>应将疑问函件原件加盖单位公章送至招标人及代理机构处</w:t>
            </w:r>
            <w:r>
              <w:rPr>
                <w:rFonts w:hint="eastAsia" w:ascii="宋体" w:hAnsi="宋体" w:eastAsia="宋体" w:cs="宋体"/>
                <w:sz w:val="24"/>
                <w:szCs w:val="24"/>
              </w:rPr>
              <w:t>。</w:t>
            </w:r>
          </w:p>
        </w:tc>
      </w:tr>
      <w:tr>
        <w:tblPrEx>
          <w:tblCellMar>
            <w:top w:w="0" w:type="dxa"/>
            <w:left w:w="108" w:type="dxa"/>
            <w:bottom w:w="0" w:type="dxa"/>
            <w:right w:w="108" w:type="dxa"/>
          </w:tblCellMar>
        </w:tblPrEx>
        <w:trPr>
          <w:trHeight w:val="457" w:hRule="atLeast"/>
        </w:trPr>
        <w:tc>
          <w:tcPr>
            <w:tcW w:w="10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2.2.2</w:t>
            </w:r>
          </w:p>
        </w:tc>
        <w:tc>
          <w:tcPr>
            <w:tcW w:w="28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招标文件澄清发出的形式</w:t>
            </w:r>
          </w:p>
        </w:tc>
        <w:tc>
          <w:tcPr>
            <w:tcW w:w="520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招标人将澄清文件发布至招标公告发布媒介，招标人不再另行通知。</w:t>
            </w:r>
          </w:p>
        </w:tc>
      </w:tr>
      <w:tr>
        <w:tblPrEx>
          <w:tblCellMar>
            <w:top w:w="0" w:type="dxa"/>
            <w:left w:w="108" w:type="dxa"/>
            <w:bottom w:w="0" w:type="dxa"/>
            <w:right w:w="108" w:type="dxa"/>
          </w:tblCellMar>
        </w:tblPrEx>
        <w:trPr>
          <w:trHeight w:val="800" w:hRule="atLeast"/>
        </w:trPr>
        <w:tc>
          <w:tcPr>
            <w:tcW w:w="10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2.2.3</w:t>
            </w:r>
          </w:p>
        </w:tc>
        <w:tc>
          <w:tcPr>
            <w:tcW w:w="28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投标人确认收到招标文件澄清</w:t>
            </w:r>
          </w:p>
        </w:tc>
        <w:tc>
          <w:tcPr>
            <w:tcW w:w="520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无需确认</w:t>
            </w:r>
          </w:p>
        </w:tc>
      </w:tr>
      <w:tr>
        <w:tblPrEx>
          <w:tblCellMar>
            <w:top w:w="0" w:type="dxa"/>
            <w:left w:w="108" w:type="dxa"/>
            <w:bottom w:w="0" w:type="dxa"/>
            <w:right w:w="108" w:type="dxa"/>
          </w:tblCellMar>
        </w:tblPrEx>
        <w:tc>
          <w:tcPr>
            <w:tcW w:w="10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2.3.1</w:t>
            </w:r>
          </w:p>
        </w:tc>
        <w:tc>
          <w:tcPr>
            <w:tcW w:w="28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招标文件修改发出的形式</w:t>
            </w:r>
          </w:p>
        </w:tc>
        <w:tc>
          <w:tcPr>
            <w:tcW w:w="520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同本附表第2.2.2项</w:t>
            </w:r>
          </w:p>
        </w:tc>
      </w:tr>
      <w:tr>
        <w:tblPrEx>
          <w:tblCellMar>
            <w:top w:w="0" w:type="dxa"/>
            <w:left w:w="108" w:type="dxa"/>
            <w:bottom w:w="0" w:type="dxa"/>
            <w:right w:w="108" w:type="dxa"/>
          </w:tblCellMar>
        </w:tblPrEx>
        <w:trPr>
          <w:trHeight w:val="845" w:hRule="atLeast"/>
        </w:trPr>
        <w:tc>
          <w:tcPr>
            <w:tcW w:w="10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2.3.2</w:t>
            </w:r>
          </w:p>
        </w:tc>
        <w:tc>
          <w:tcPr>
            <w:tcW w:w="28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投标人确认收到招标文件修改</w:t>
            </w:r>
          </w:p>
        </w:tc>
        <w:tc>
          <w:tcPr>
            <w:tcW w:w="520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同本附表第2.2.3项</w:t>
            </w:r>
          </w:p>
        </w:tc>
      </w:tr>
      <w:tr>
        <w:tblPrEx>
          <w:tblCellMar>
            <w:top w:w="0" w:type="dxa"/>
            <w:left w:w="108" w:type="dxa"/>
            <w:bottom w:w="0" w:type="dxa"/>
            <w:right w:w="108" w:type="dxa"/>
          </w:tblCellMar>
        </w:tblPrEx>
        <w:trPr>
          <w:trHeight w:val="442" w:hRule="atLeast"/>
        </w:trPr>
        <w:tc>
          <w:tcPr>
            <w:tcW w:w="10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3.1.1</w:t>
            </w:r>
          </w:p>
        </w:tc>
        <w:tc>
          <w:tcPr>
            <w:tcW w:w="28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构成投标文件的其他资料</w:t>
            </w:r>
          </w:p>
        </w:tc>
        <w:tc>
          <w:tcPr>
            <w:tcW w:w="5206" w:type="dxa"/>
            <w:tcBorders>
              <w:top w:val="single" w:color="auto" w:sz="4" w:space="0"/>
              <w:left w:val="single" w:color="auto" w:sz="4" w:space="0"/>
              <w:bottom w:val="single" w:color="auto" w:sz="4" w:space="0"/>
              <w:right w:val="single" w:color="auto" w:sz="4" w:space="0"/>
            </w:tcBorders>
            <w:vAlign w:val="center"/>
          </w:tcPr>
          <w:p>
            <w:pPr>
              <w:numPr>
                <w:ilvl w:val="255"/>
                <w:numId w:val="0"/>
              </w:numPr>
              <w:spacing w:line="400" w:lineRule="exact"/>
              <w:rPr>
                <w:rFonts w:hint="eastAsia" w:ascii="宋体" w:hAnsi="宋体" w:eastAsia="宋体" w:cs="宋体"/>
                <w:sz w:val="24"/>
                <w:szCs w:val="24"/>
              </w:rPr>
            </w:pPr>
            <w:r>
              <w:rPr>
                <w:rFonts w:hint="eastAsia" w:ascii="宋体" w:hAnsi="宋体" w:eastAsia="宋体" w:cs="宋体"/>
                <w:sz w:val="24"/>
                <w:szCs w:val="24"/>
              </w:rPr>
              <w:t>详见投标文件格式</w:t>
            </w:r>
          </w:p>
        </w:tc>
      </w:tr>
      <w:tr>
        <w:tblPrEx>
          <w:tblCellMar>
            <w:top w:w="0" w:type="dxa"/>
            <w:left w:w="108" w:type="dxa"/>
            <w:bottom w:w="0" w:type="dxa"/>
            <w:right w:w="108" w:type="dxa"/>
          </w:tblCellMar>
        </w:tblPrEx>
        <w:trPr>
          <w:trHeight w:val="471" w:hRule="atLeast"/>
        </w:trPr>
        <w:tc>
          <w:tcPr>
            <w:tcW w:w="10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3.2.1</w:t>
            </w:r>
          </w:p>
        </w:tc>
        <w:tc>
          <w:tcPr>
            <w:tcW w:w="28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增值税税金的计算方法</w:t>
            </w:r>
          </w:p>
        </w:tc>
        <w:tc>
          <w:tcPr>
            <w:tcW w:w="520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一般计税法</w:t>
            </w:r>
          </w:p>
        </w:tc>
      </w:tr>
      <w:tr>
        <w:tblPrEx>
          <w:tblCellMar>
            <w:top w:w="0" w:type="dxa"/>
            <w:left w:w="108" w:type="dxa"/>
            <w:bottom w:w="0" w:type="dxa"/>
            <w:right w:w="108" w:type="dxa"/>
          </w:tblCellMar>
        </w:tblPrEx>
        <w:tc>
          <w:tcPr>
            <w:tcW w:w="10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br w:type="page"/>
            </w:r>
            <w:r>
              <w:rPr>
                <w:rFonts w:hint="eastAsia" w:ascii="宋体" w:hAnsi="宋体" w:eastAsia="宋体" w:cs="宋体"/>
                <w:sz w:val="24"/>
                <w:szCs w:val="24"/>
              </w:rPr>
              <w:t>3.2.3</w:t>
            </w:r>
          </w:p>
        </w:tc>
        <w:tc>
          <w:tcPr>
            <w:tcW w:w="28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报价方式</w:t>
            </w:r>
          </w:p>
        </w:tc>
        <w:tc>
          <w:tcPr>
            <w:tcW w:w="5206" w:type="dxa"/>
            <w:tcBorders>
              <w:top w:val="single" w:color="auto" w:sz="4" w:space="0"/>
              <w:left w:val="single" w:color="auto" w:sz="4" w:space="0"/>
              <w:bottom w:val="single" w:color="auto" w:sz="4" w:space="0"/>
              <w:right w:val="single" w:color="auto" w:sz="4" w:space="0"/>
            </w:tcBorders>
            <w:vAlign w:val="center"/>
          </w:tcPr>
          <w:p>
            <w:pPr>
              <w:pStyle w:val="10"/>
              <w:topLinePunct/>
              <w:spacing w:line="400" w:lineRule="exact"/>
              <w:rPr>
                <w:rFonts w:hint="eastAsia" w:ascii="宋体" w:hAnsi="宋体" w:eastAsia="宋体" w:cs="宋体"/>
                <w:sz w:val="24"/>
                <w:szCs w:val="24"/>
              </w:rPr>
            </w:pPr>
            <w:r>
              <w:rPr>
                <w:rFonts w:hint="eastAsia" w:ascii="宋体" w:hAnsi="宋体" w:eastAsia="宋体" w:cs="宋体"/>
                <w:sz w:val="24"/>
                <w:szCs w:val="24"/>
              </w:rPr>
              <w:t>总价</w:t>
            </w:r>
          </w:p>
        </w:tc>
      </w:tr>
      <w:tr>
        <w:tblPrEx>
          <w:tblCellMar>
            <w:top w:w="0" w:type="dxa"/>
            <w:left w:w="108" w:type="dxa"/>
            <w:bottom w:w="0" w:type="dxa"/>
            <w:right w:w="108" w:type="dxa"/>
          </w:tblCellMar>
        </w:tblPrEx>
        <w:trPr>
          <w:trHeight w:val="90" w:hRule="atLeast"/>
        </w:trPr>
        <w:tc>
          <w:tcPr>
            <w:tcW w:w="10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3.2.4</w:t>
            </w:r>
          </w:p>
        </w:tc>
        <w:tc>
          <w:tcPr>
            <w:tcW w:w="28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最高投标限价</w:t>
            </w:r>
          </w:p>
        </w:tc>
        <w:tc>
          <w:tcPr>
            <w:tcW w:w="5206" w:type="dxa"/>
            <w:tcBorders>
              <w:top w:val="single" w:color="auto" w:sz="4" w:space="0"/>
              <w:left w:val="single" w:color="auto" w:sz="4" w:space="0"/>
              <w:bottom w:val="single" w:color="auto" w:sz="4" w:space="0"/>
              <w:right w:val="single" w:color="auto" w:sz="4" w:space="0"/>
            </w:tcBorders>
            <w:vAlign w:val="center"/>
          </w:tcPr>
          <w:p>
            <w:pPr>
              <w:spacing w:line="400" w:lineRule="exact"/>
              <w:ind w:left="720" w:hanging="720" w:hangingChars="300"/>
              <w:rPr>
                <w:rFonts w:hint="eastAsia" w:ascii="宋体" w:hAnsi="宋体" w:eastAsia="宋体" w:cs="宋体"/>
                <w:sz w:val="24"/>
                <w:szCs w:val="24"/>
              </w:rPr>
            </w:pPr>
            <w:r>
              <w:rPr>
                <w:rFonts w:hint="eastAsia" w:ascii="宋体" w:hAnsi="宋体" w:eastAsia="宋体" w:cs="宋体"/>
                <w:sz w:val="24"/>
                <w:szCs w:val="24"/>
              </w:rPr>
              <w:t>□无     ■有</w:t>
            </w:r>
          </w:p>
          <w:p>
            <w:pPr>
              <w:pStyle w:val="10"/>
              <w:topLinePunct/>
              <w:spacing w:line="400" w:lineRule="exact"/>
              <w:rPr>
                <w:rFonts w:hint="eastAsia" w:ascii="宋体" w:hAnsi="宋体" w:eastAsia="宋体" w:cs="宋体"/>
                <w:sz w:val="24"/>
                <w:szCs w:val="24"/>
              </w:rPr>
            </w:pPr>
            <w:r>
              <w:rPr>
                <w:rFonts w:hint="eastAsia" w:ascii="宋体" w:hAnsi="宋体" w:eastAsia="宋体" w:cs="宋体"/>
                <w:sz w:val="24"/>
                <w:szCs w:val="24"/>
              </w:rPr>
              <w:t>最高投标限价将在投标截止之日15天前以书面形式公布，高于最高投标限价（或等于）的投标文件按否决其投标处理。</w:t>
            </w:r>
          </w:p>
        </w:tc>
      </w:tr>
      <w:tr>
        <w:tblPrEx>
          <w:tblCellMar>
            <w:top w:w="0" w:type="dxa"/>
            <w:left w:w="108" w:type="dxa"/>
            <w:bottom w:w="0" w:type="dxa"/>
            <w:right w:w="108" w:type="dxa"/>
          </w:tblCellMar>
        </w:tblPrEx>
        <w:tc>
          <w:tcPr>
            <w:tcW w:w="10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3.2.5</w:t>
            </w:r>
          </w:p>
        </w:tc>
        <w:tc>
          <w:tcPr>
            <w:tcW w:w="28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投标报价的其他要求</w:t>
            </w:r>
          </w:p>
        </w:tc>
        <w:tc>
          <w:tcPr>
            <w:tcW w:w="5206" w:type="dxa"/>
            <w:tcBorders>
              <w:top w:val="single" w:color="auto" w:sz="4" w:space="0"/>
              <w:left w:val="single" w:color="auto" w:sz="4" w:space="0"/>
              <w:bottom w:val="single" w:color="auto" w:sz="4" w:space="0"/>
              <w:right w:val="single" w:color="auto" w:sz="4" w:space="0"/>
            </w:tcBorders>
            <w:vAlign w:val="center"/>
          </w:tcPr>
          <w:p>
            <w:pPr>
              <w:pStyle w:val="10"/>
              <w:topLinePunct/>
              <w:spacing w:line="400" w:lineRule="exact"/>
              <w:rPr>
                <w:rFonts w:hint="eastAsia" w:ascii="宋体" w:hAnsi="宋体" w:eastAsia="宋体" w:cs="宋体"/>
                <w:sz w:val="24"/>
                <w:szCs w:val="24"/>
              </w:rPr>
            </w:pPr>
            <w:r>
              <w:rPr>
                <w:rFonts w:hint="eastAsia" w:ascii="宋体" w:hAnsi="宋体" w:eastAsia="宋体" w:cs="宋体"/>
                <w:sz w:val="24"/>
                <w:szCs w:val="24"/>
              </w:rPr>
              <w:t>/</w:t>
            </w:r>
          </w:p>
        </w:tc>
      </w:tr>
      <w:tr>
        <w:tblPrEx>
          <w:tblCellMar>
            <w:top w:w="0" w:type="dxa"/>
            <w:left w:w="108" w:type="dxa"/>
            <w:bottom w:w="0" w:type="dxa"/>
            <w:right w:w="108" w:type="dxa"/>
          </w:tblCellMar>
        </w:tblPrEx>
        <w:tc>
          <w:tcPr>
            <w:tcW w:w="10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3.3.1</w:t>
            </w:r>
          </w:p>
        </w:tc>
        <w:tc>
          <w:tcPr>
            <w:tcW w:w="28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投标有效期</w:t>
            </w:r>
          </w:p>
        </w:tc>
        <w:tc>
          <w:tcPr>
            <w:tcW w:w="5206" w:type="dxa"/>
            <w:tcBorders>
              <w:top w:val="single" w:color="auto" w:sz="4" w:space="0"/>
              <w:left w:val="single" w:color="auto" w:sz="4" w:space="0"/>
              <w:bottom w:val="single" w:color="auto" w:sz="4" w:space="0"/>
              <w:right w:val="single" w:color="auto" w:sz="4" w:space="0"/>
            </w:tcBorders>
            <w:vAlign w:val="center"/>
          </w:tcPr>
          <w:p>
            <w:pPr>
              <w:pStyle w:val="10"/>
              <w:topLinePunct/>
              <w:spacing w:line="400" w:lineRule="exact"/>
              <w:rPr>
                <w:rFonts w:hint="eastAsia" w:ascii="宋体" w:hAnsi="宋体" w:eastAsia="宋体" w:cs="宋体"/>
                <w:sz w:val="24"/>
                <w:szCs w:val="24"/>
              </w:rPr>
            </w:pPr>
            <w:r>
              <w:rPr>
                <w:rFonts w:hint="eastAsia" w:ascii="宋体" w:hAnsi="宋体" w:eastAsia="宋体" w:cs="宋体"/>
                <w:sz w:val="24"/>
                <w:szCs w:val="24"/>
              </w:rPr>
              <w:t>自投标人提交投标文件截止之日起计算</w:t>
            </w:r>
            <w:r>
              <w:rPr>
                <w:rFonts w:hint="eastAsia" w:ascii="宋体" w:hAnsi="宋体" w:eastAsia="宋体" w:cs="宋体"/>
                <w:sz w:val="24"/>
                <w:szCs w:val="24"/>
                <w:u w:val="single"/>
              </w:rPr>
              <w:t xml:space="preserve"> 90 </w:t>
            </w:r>
            <w:r>
              <w:rPr>
                <w:rFonts w:hint="eastAsia" w:ascii="宋体" w:hAnsi="宋体" w:eastAsia="宋体" w:cs="宋体"/>
                <w:sz w:val="24"/>
                <w:szCs w:val="24"/>
              </w:rPr>
              <w:t>日</w:t>
            </w:r>
          </w:p>
        </w:tc>
      </w:tr>
      <w:tr>
        <w:tblPrEx>
          <w:tblCellMar>
            <w:top w:w="0" w:type="dxa"/>
            <w:left w:w="108" w:type="dxa"/>
            <w:bottom w:w="0" w:type="dxa"/>
            <w:right w:w="108" w:type="dxa"/>
          </w:tblCellMar>
        </w:tblPrEx>
        <w:tc>
          <w:tcPr>
            <w:tcW w:w="10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3.4.1</w:t>
            </w:r>
          </w:p>
        </w:tc>
        <w:tc>
          <w:tcPr>
            <w:tcW w:w="28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投标保证金</w:t>
            </w:r>
          </w:p>
        </w:tc>
        <w:tc>
          <w:tcPr>
            <w:tcW w:w="520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宋体" w:hAnsi="宋体" w:eastAsia="宋体" w:cs="宋体"/>
                <w:sz w:val="24"/>
                <w:szCs w:val="24"/>
              </w:rPr>
            </w:pPr>
            <w:r>
              <w:rPr>
                <w:rFonts w:hint="eastAsia" w:ascii="宋体" w:hAnsi="宋体" w:eastAsia="宋体" w:cs="宋体"/>
                <w:sz w:val="24"/>
                <w:szCs w:val="24"/>
              </w:rPr>
              <w:t>投标人应按本项规定递交投标保证金，并作为其投标文件的组成部分。投标保证金有效期应与投标有效期一致。招标人如果按本章正文第3.3.3项的规定延长了投标有效期，则投标保证金的有效期也相应延长。</w:t>
            </w:r>
          </w:p>
          <w:p>
            <w:pPr>
              <w:spacing w:line="400" w:lineRule="exact"/>
              <w:jc w:val="left"/>
              <w:rPr>
                <w:rFonts w:hint="eastAsia" w:ascii="宋体" w:hAnsi="宋体" w:eastAsia="宋体" w:cs="宋体"/>
                <w:sz w:val="24"/>
                <w:szCs w:val="24"/>
                <w:u w:val="single"/>
              </w:rPr>
            </w:pPr>
            <w:r>
              <w:rPr>
                <w:rFonts w:hint="eastAsia" w:ascii="宋体" w:hAnsi="宋体" w:eastAsia="宋体" w:cs="宋体"/>
                <w:sz w:val="24"/>
                <w:szCs w:val="24"/>
              </w:rPr>
              <w:t>投标保证金的金额</w:t>
            </w:r>
            <w:r>
              <w:rPr>
                <w:rFonts w:hint="eastAsia" w:ascii="宋体" w:hAnsi="宋体" w:eastAsia="宋体" w:cs="宋体"/>
                <w:b/>
                <w:bCs/>
                <w:sz w:val="24"/>
                <w:szCs w:val="24"/>
              </w:rPr>
              <w:t>：人民币壹万元整（ ¥ 10000.00元）</w:t>
            </w:r>
          </w:p>
          <w:p>
            <w:pPr>
              <w:spacing w:line="270" w:lineRule="exact"/>
              <w:rPr>
                <w:rFonts w:hint="eastAsia" w:ascii="宋体" w:hAnsi="宋体" w:eastAsia="宋体" w:cs="宋体"/>
                <w:b/>
                <w:bCs/>
                <w:sz w:val="24"/>
                <w:szCs w:val="24"/>
              </w:rPr>
            </w:pPr>
            <w:r>
              <w:rPr>
                <w:rFonts w:hint="eastAsia" w:ascii="宋体" w:hAnsi="宋体" w:eastAsia="宋体" w:cs="宋体"/>
                <w:sz w:val="24"/>
                <w:szCs w:val="24"/>
              </w:rPr>
              <w:t>投标保证金可采用的形式：</w:t>
            </w:r>
            <w:r>
              <w:rPr>
                <w:rFonts w:hint="eastAsia" w:ascii="宋体" w:hAnsi="宋体" w:eastAsia="宋体" w:cs="宋体"/>
                <w:b/>
                <w:bCs/>
                <w:sz w:val="24"/>
                <w:szCs w:val="24"/>
              </w:rPr>
              <w:t>现金、支票、银行保函</w:t>
            </w:r>
          </w:p>
          <w:p>
            <w:pPr>
              <w:spacing w:line="400" w:lineRule="exact"/>
              <w:jc w:val="left"/>
              <w:rPr>
                <w:rFonts w:hint="eastAsia" w:ascii="宋体" w:hAnsi="宋体" w:eastAsia="宋体" w:cs="宋体"/>
                <w:sz w:val="24"/>
                <w:szCs w:val="24"/>
              </w:rPr>
            </w:pPr>
            <w:r>
              <w:rPr>
                <w:rFonts w:hint="eastAsia" w:ascii="宋体" w:hAnsi="宋体" w:eastAsia="宋体" w:cs="宋体"/>
                <w:sz w:val="24"/>
                <w:szCs w:val="24"/>
              </w:rPr>
              <w:t>开户银行及账号如下：</w:t>
            </w:r>
          </w:p>
          <w:p>
            <w:pPr>
              <w:spacing w:line="400" w:lineRule="exact"/>
              <w:jc w:val="left"/>
              <w:rPr>
                <w:rFonts w:hint="eastAsia" w:ascii="宋体" w:hAnsi="宋体" w:eastAsia="宋体" w:cs="宋体"/>
                <w:sz w:val="24"/>
                <w:szCs w:val="24"/>
              </w:rPr>
            </w:pPr>
            <w:r>
              <w:rPr>
                <w:rFonts w:hint="eastAsia" w:ascii="宋体" w:hAnsi="宋体" w:eastAsia="宋体" w:cs="宋体"/>
                <w:sz w:val="24"/>
                <w:szCs w:val="24"/>
              </w:rPr>
              <w:t>开户名称：安康市政务服务中心公共资源交易保证金专用账户</w:t>
            </w:r>
          </w:p>
          <w:p>
            <w:pPr>
              <w:spacing w:line="400" w:lineRule="exact"/>
              <w:jc w:val="left"/>
              <w:rPr>
                <w:rFonts w:hint="eastAsia" w:ascii="宋体" w:hAnsi="宋体" w:eastAsia="宋体" w:cs="宋体"/>
                <w:sz w:val="24"/>
                <w:szCs w:val="24"/>
              </w:rPr>
            </w:pPr>
            <w:r>
              <w:rPr>
                <w:rFonts w:hint="eastAsia" w:ascii="宋体" w:hAnsi="宋体" w:eastAsia="宋体" w:cs="宋体"/>
                <w:sz w:val="24"/>
                <w:szCs w:val="24"/>
              </w:rPr>
              <w:t>开户银行：中国建设银行股份有限公司安康分行营业部</w:t>
            </w:r>
          </w:p>
          <w:p>
            <w:pPr>
              <w:spacing w:line="400" w:lineRule="exact"/>
              <w:jc w:val="left"/>
              <w:rPr>
                <w:rFonts w:hint="eastAsia" w:ascii="宋体" w:hAnsi="宋体" w:eastAsia="宋体" w:cs="宋体"/>
                <w:sz w:val="24"/>
                <w:szCs w:val="24"/>
              </w:rPr>
            </w:pPr>
            <w:r>
              <w:rPr>
                <w:rFonts w:hint="eastAsia" w:ascii="宋体" w:hAnsi="宋体" w:eastAsia="宋体" w:cs="宋体"/>
                <w:sz w:val="24"/>
                <w:szCs w:val="24"/>
              </w:rPr>
              <w:t>账    号：61050166371100000321</w:t>
            </w:r>
          </w:p>
          <w:p>
            <w:pPr>
              <w:spacing w:line="400" w:lineRule="exact"/>
              <w:jc w:val="left"/>
              <w:rPr>
                <w:rFonts w:hint="eastAsia" w:ascii="宋体" w:hAnsi="宋体" w:eastAsia="宋体" w:cs="宋体"/>
                <w:sz w:val="24"/>
                <w:szCs w:val="24"/>
              </w:rPr>
            </w:pPr>
            <w:r>
              <w:rPr>
                <w:rFonts w:hint="eastAsia" w:ascii="宋体" w:hAnsi="宋体" w:eastAsia="宋体" w:cs="宋体"/>
                <w:sz w:val="24"/>
                <w:szCs w:val="24"/>
              </w:rPr>
              <w:t>（保证金须从对公账户转入，在缴费时务必备注项目名称及标段）</w:t>
            </w:r>
          </w:p>
          <w:p>
            <w:pPr>
              <w:spacing w:line="400" w:lineRule="exact"/>
              <w:jc w:val="left"/>
              <w:rPr>
                <w:rFonts w:hint="eastAsia" w:ascii="宋体" w:hAnsi="宋体" w:eastAsia="宋体" w:cs="宋体"/>
                <w:sz w:val="24"/>
                <w:szCs w:val="24"/>
              </w:rPr>
            </w:pPr>
            <w:r>
              <w:rPr>
                <w:rFonts w:hint="eastAsia" w:ascii="宋体" w:hAnsi="宋体" w:eastAsia="宋体" w:cs="宋体"/>
                <w:b/>
                <w:bCs/>
                <w:sz w:val="24"/>
                <w:szCs w:val="24"/>
              </w:rPr>
              <w:t>采用银行保函时，</w:t>
            </w:r>
            <w:r>
              <w:rPr>
                <w:rFonts w:hint="eastAsia" w:ascii="宋体" w:hAnsi="宋体" w:eastAsia="宋体" w:cs="宋体"/>
                <w:sz w:val="24"/>
                <w:szCs w:val="24"/>
              </w:rPr>
              <w:t>必须按照招标文件给定的保函格式开具，否则视为无效保函；采用银行保函时，出具保函的银行级别：由企业基本账户开户银行出具，若企业基本账户开户银行不具备出具银行保函资格的，则应当由其基本账户开户银行的上级银行出具。以银行保函形式递交的，应当为无条件不可撤销保函。</w:t>
            </w:r>
          </w:p>
          <w:p>
            <w:pPr>
              <w:spacing w:line="400" w:lineRule="exact"/>
              <w:jc w:val="left"/>
              <w:rPr>
                <w:rFonts w:hint="eastAsia" w:ascii="宋体" w:hAnsi="宋体" w:eastAsia="宋体" w:cs="宋体"/>
                <w:b/>
                <w:bCs/>
                <w:sz w:val="24"/>
                <w:szCs w:val="24"/>
              </w:rPr>
            </w:pPr>
            <w:r>
              <w:rPr>
                <w:rFonts w:hint="eastAsia" w:ascii="宋体" w:hAnsi="宋体" w:eastAsia="宋体" w:cs="宋体"/>
                <w:b/>
                <w:bCs/>
                <w:sz w:val="24"/>
                <w:szCs w:val="24"/>
              </w:rPr>
              <w:t>投标保证金的递交截止时间为：2022年</w:t>
            </w:r>
            <w:r>
              <w:rPr>
                <w:rFonts w:hint="eastAsia" w:ascii="宋体" w:hAnsi="宋体" w:eastAsia="宋体" w:cs="宋体"/>
                <w:b/>
                <w:bCs/>
                <w:sz w:val="24"/>
                <w:szCs w:val="24"/>
                <w:u w:val="single"/>
                <w:lang w:val="en-US"/>
              </w:rPr>
              <w:t>8</w:t>
            </w:r>
            <w:r>
              <w:rPr>
                <w:rFonts w:hint="eastAsia" w:ascii="宋体" w:hAnsi="宋体" w:eastAsia="宋体" w:cs="宋体"/>
                <w:b/>
                <w:bCs/>
                <w:sz w:val="24"/>
                <w:szCs w:val="24"/>
              </w:rPr>
              <w:t>月</w:t>
            </w:r>
            <w:r>
              <w:rPr>
                <w:rFonts w:hint="eastAsia" w:ascii="宋体" w:hAnsi="宋体" w:eastAsia="宋体" w:cs="宋体"/>
                <w:b/>
                <w:bCs/>
                <w:sz w:val="24"/>
                <w:szCs w:val="24"/>
                <w:u w:val="single"/>
                <w:lang w:val="en-US"/>
              </w:rPr>
              <w:t>25</w:t>
            </w:r>
            <w:r>
              <w:rPr>
                <w:rFonts w:hint="eastAsia" w:ascii="宋体" w:hAnsi="宋体" w:eastAsia="宋体" w:cs="宋体"/>
                <w:b/>
                <w:bCs/>
                <w:sz w:val="24"/>
                <w:szCs w:val="24"/>
              </w:rPr>
              <w:t>日</w:t>
            </w:r>
            <w:r>
              <w:rPr>
                <w:rFonts w:hint="eastAsia" w:ascii="宋体" w:hAnsi="宋体" w:eastAsia="宋体" w:cs="宋体"/>
                <w:b/>
                <w:bCs/>
                <w:sz w:val="24"/>
                <w:szCs w:val="24"/>
                <w:u w:val="single"/>
                <w:lang w:val="en-US"/>
              </w:rPr>
              <w:t>9</w:t>
            </w:r>
            <w:r>
              <w:rPr>
                <w:rFonts w:hint="eastAsia" w:ascii="宋体" w:hAnsi="宋体" w:eastAsia="宋体" w:cs="宋体"/>
                <w:b/>
                <w:bCs/>
                <w:sz w:val="24"/>
                <w:szCs w:val="24"/>
              </w:rPr>
              <w:t>:00时前</w:t>
            </w:r>
          </w:p>
          <w:p>
            <w:pPr>
              <w:pStyle w:val="10"/>
              <w:topLinePunct/>
              <w:spacing w:line="400" w:lineRule="exact"/>
              <w:rPr>
                <w:rFonts w:hint="eastAsia" w:ascii="宋体" w:hAnsi="宋体" w:eastAsia="宋体" w:cs="宋体"/>
                <w:sz w:val="24"/>
                <w:szCs w:val="24"/>
              </w:rPr>
            </w:pPr>
            <w:r>
              <w:rPr>
                <w:rFonts w:hint="eastAsia" w:ascii="宋体" w:hAnsi="宋体" w:eastAsia="宋体" w:cs="宋体"/>
                <w:sz w:val="24"/>
                <w:szCs w:val="24"/>
              </w:rPr>
              <w:t>备注：投标人须将银行转款凭证在转账成功后发送到754357714@qq.com邮箱并装入商务及技术文件中（未按规定交纳或复印件未装入投标文件视为放弃投标）。</w:t>
            </w:r>
          </w:p>
        </w:tc>
      </w:tr>
      <w:tr>
        <w:tblPrEx>
          <w:tblCellMar>
            <w:top w:w="0" w:type="dxa"/>
            <w:left w:w="108" w:type="dxa"/>
            <w:bottom w:w="0" w:type="dxa"/>
            <w:right w:w="108" w:type="dxa"/>
          </w:tblCellMar>
        </w:tblPrEx>
        <w:tc>
          <w:tcPr>
            <w:tcW w:w="10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3.4.3</w:t>
            </w:r>
          </w:p>
        </w:tc>
        <w:tc>
          <w:tcPr>
            <w:tcW w:w="28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投标保证金的利息计算原则</w:t>
            </w:r>
          </w:p>
        </w:tc>
        <w:tc>
          <w:tcPr>
            <w:tcW w:w="5206" w:type="dxa"/>
            <w:tcBorders>
              <w:top w:val="single" w:color="auto" w:sz="4" w:space="0"/>
              <w:left w:val="single" w:color="auto" w:sz="4" w:space="0"/>
              <w:bottom w:val="single" w:color="auto" w:sz="4" w:space="0"/>
              <w:right w:val="single" w:color="auto" w:sz="4" w:space="0"/>
            </w:tcBorders>
            <w:vAlign w:val="center"/>
          </w:tcPr>
          <w:p>
            <w:pPr>
              <w:pStyle w:val="10"/>
              <w:topLinePunct/>
              <w:spacing w:line="400" w:lineRule="exact"/>
              <w:rPr>
                <w:rFonts w:hint="eastAsia" w:ascii="宋体" w:hAnsi="宋体" w:eastAsia="宋体" w:cs="宋体"/>
                <w:sz w:val="24"/>
                <w:szCs w:val="24"/>
              </w:rPr>
            </w:pPr>
            <w:r>
              <w:rPr>
                <w:rFonts w:hint="eastAsia" w:ascii="宋体" w:hAnsi="宋体" w:eastAsia="宋体" w:cs="宋体"/>
                <w:sz w:val="24"/>
                <w:szCs w:val="24"/>
              </w:rPr>
              <w:t>1、如采用电汇形式，本项目投标保证金的收取单位为安康市公共资源交易中心，具体利息计算原则请详询安康市公共资源交易中心；</w:t>
            </w:r>
          </w:p>
          <w:p>
            <w:pPr>
              <w:pStyle w:val="10"/>
              <w:topLinePunct/>
              <w:spacing w:line="400" w:lineRule="exact"/>
              <w:rPr>
                <w:rFonts w:hint="eastAsia" w:ascii="宋体" w:hAnsi="宋体" w:eastAsia="宋体" w:cs="宋体"/>
                <w:sz w:val="24"/>
                <w:szCs w:val="24"/>
              </w:rPr>
            </w:pPr>
            <w:r>
              <w:rPr>
                <w:rFonts w:hint="eastAsia" w:ascii="宋体" w:hAnsi="宋体" w:eastAsia="宋体" w:cs="宋体"/>
                <w:sz w:val="24"/>
                <w:szCs w:val="24"/>
              </w:rPr>
              <w:t>2、如采用银行保函形式，不计息。</w:t>
            </w:r>
          </w:p>
        </w:tc>
      </w:tr>
      <w:tr>
        <w:tblPrEx>
          <w:tblCellMar>
            <w:top w:w="0" w:type="dxa"/>
            <w:left w:w="108" w:type="dxa"/>
            <w:bottom w:w="0" w:type="dxa"/>
            <w:right w:w="108" w:type="dxa"/>
          </w:tblCellMar>
        </w:tblPrEx>
        <w:tc>
          <w:tcPr>
            <w:tcW w:w="10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3.4.4</w:t>
            </w:r>
          </w:p>
        </w:tc>
        <w:tc>
          <w:tcPr>
            <w:tcW w:w="28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其他可以不予退还投标保证金的情形</w:t>
            </w:r>
          </w:p>
        </w:tc>
        <w:tc>
          <w:tcPr>
            <w:tcW w:w="5206" w:type="dxa"/>
            <w:tcBorders>
              <w:top w:val="single" w:color="auto" w:sz="4" w:space="0"/>
              <w:left w:val="single" w:color="auto" w:sz="4" w:space="0"/>
              <w:bottom w:val="single" w:color="auto" w:sz="4" w:space="0"/>
              <w:right w:val="single" w:color="auto" w:sz="4" w:space="0"/>
            </w:tcBorders>
            <w:vAlign w:val="center"/>
          </w:tcPr>
          <w:p>
            <w:pPr>
              <w:pStyle w:val="10"/>
              <w:topLinePunct/>
              <w:spacing w:line="400" w:lineRule="exact"/>
              <w:rPr>
                <w:rFonts w:hint="eastAsia" w:ascii="宋体" w:hAnsi="宋体" w:eastAsia="宋体" w:cs="宋体"/>
                <w:sz w:val="24"/>
                <w:szCs w:val="24"/>
              </w:rPr>
            </w:pPr>
            <w:r>
              <w:rPr>
                <w:rFonts w:hint="eastAsia" w:ascii="宋体" w:hAnsi="宋体" w:eastAsia="宋体" w:cs="宋体"/>
                <w:sz w:val="24"/>
                <w:szCs w:val="24"/>
              </w:rPr>
              <w:t>（1）投标人不接受依据评标办法的规定对其投标文件中细微偏差进行澄清和补正；</w:t>
            </w:r>
          </w:p>
          <w:p>
            <w:pPr>
              <w:pStyle w:val="10"/>
              <w:topLinePunct/>
              <w:spacing w:line="400" w:lineRule="exact"/>
              <w:rPr>
                <w:rFonts w:hint="eastAsia" w:ascii="宋体" w:hAnsi="宋体" w:eastAsia="宋体" w:cs="宋体"/>
                <w:sz w:val="24"/>
                <w:szCs w:val="24"/>
              </w:rPr>
            </w:pPr>
            <w:r>
              <w:rPr>
                <w:rFonts w:hint="eastAsia" w:ascii="宋体" w:hAnsi="宋体" w:eastAsia="宋体" w:cs="宋体"/>
                <w:sz w:val="24"/>
                <w:szCs w:val="24"/>
              </w:rPr>
              <w:t>（2）投标人提交了虚假资料；</w:t>
            </w:r>
          </w:p>
          <w:p>
            <w:pPr>
              <w:pStyle w:val="10"/>
              <w:topLinePunct/>
              <w:spacing w:line="400" w:lineRule="exact"/>
              <w:rPr>
                <w:rFonts w:hint="eastAsia" w:ascii="宋体" w:hAnsi="宋体" w:eastAsia="宋体" w:cs="宋体"/>
                <w:sz w:val="24"/>
                <w:szCs w:val="24"/>
              </w:rPr>
            </w:pPr>
            <w:r>
              <w:rPr>
                <w:rFonts w:hint="eastAsia" w:ascii="宋体" w:hAnsi="宋体" w:eastAsia="宋体" w:cs="宋体"/>
                <w:sz w:val="24"/>
                <w:szCs w:val="24"/>
              </w:rPr>
              <w:t>（3）投标人有串标、围标、“挂靠”其他单位参与投标，贿赂评标专家或招标工作人员，以及其他违反国家招标投标管理有关规定的行为。</w:t>
            </w:r>
          </w:p>
        </w:tc>
      </w:tr>
      <w:tr>
        <w:tblPrEx>
          <w:tblCellMar>
            <w:top w:w="0" w:type="dxa"/>
            <w:left w:w="108" w:type="dxa"/>
            <w:bottom w:w="0" w:type="dxa"/>
            <w:right w:w="108" w:type="dxa"/>
          </w:tblCellMar>
        </w:tblPrEx>
        <w:trPr>
          <w:trHeight w:val="90" w:hRule="atLeast"/>
        </w:trPr>
        <w:tc>
          <w:tcPr>
            <w:tcW w:w="10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3.5</w:t>
            </w:r>
          </w:p>
        </w:tc>
        <w:tc>
          <w:tcPr>
            <w:tcW w:w="28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资格审查资料的特殊要求</w:t>
            </w:r>
          </w:p>
        </w:tc>
        <w:tc>
          <w:tcPr>
            <w:tcW w:w="5206" w:type="dxa"/>
            <w:tcBorders>
              <w:top w:val="single" w:color="auto" w:sz="4" w:space="0"/>
              <w:left w:val="single" w:color="auto" w:sz="4" w:space="0"/>
              <w:bottom w:val="single" w:color="auto" w:sz="4" w:space="0"/>
              <w:right w:val="single" w:color="auto" w:sz="4" w:space="0"/>
            </w:tcBorders>
            <w:vAlign w:val="center"/>
          </w:tcPr>
          <w:p>
            <w:pPr>
              <w:spacing w:line="380" w:lineRule="exact"/>
              <w:ind w:right="113"/>
              <w:rPr>
                <w:rFonts w:hint="eastAsia" w:ascii="宋体" w:hAnsi="宋体" w:eastAsia="宋体" w:cs="宋体"/>
                <w:sz w:val="24"/>
                <w:szCs w:val="24"/>
              </w:rPr>
            </w:pPr>
            <w:r>
              <w:rPr>
                <w:rFonts w:hint="eastAsia" w:ascii="宋体" w:hAnsi="宋体" w:eastAsia="宋体" w:cs="宋体"/>
                <w:sz w:val="24"/>
                <w:szCs w:val="24"/>
              </w:rPr>
              <w:sym w:font="Wingdings 2" w:char="0052"/>
            </w:r>
            <w:r>
              <w:rPr>
                <w:rFonts w:hint="eastAsia" w:ascii="宋体" w:hAnsi="宋体" w:eastAsia="宋体" w:cs="宋体"/>
                <w:sz w:val="24"/>
                <w:szCs w:val="24"/>
              </w:rPr>
              <w:t>无</w:t>
            </w:r>
          </w:p>
          <w:p>
            <w:pPr>
              <w:pStyle w:val="10"/>
              <w:topLinePunct/>
              <w:spacing w:line="400" w:lineRule="exact"/>
              <w:rPr>
                <w:rFonts w:hint="eastAsia" w:ascii="宋体" w:hAnsi="宋体" w:eastAsia="宋体" w:cs="宋体"/>
                <w:sz w:val="24"/>
                <w:szCs w:val="24"/>
              </w:rPr>
            </w:pPr>
            <w:r>
              <w:rPr>
                <w:rFonts w:hint="eastAsia" w:ascii="宋体" w:hAnsi="宋体" w:eastAsia="宋体" w:cs="宋体"/>
                <w:sz w:val="24"/>
                <w:szCs w:val="24"/>
              </w:rPr>
              <w:sym w:font="Wingdings 2" w:char="00A3"/>
            </w:r>
            <w:r>
              <w:rPr>
                <w:rFonts w:hint="eastAsia" w:ascii="宋体" w:hAnsi="宋体" w:eastAsia="宋体" w:cs="宋体"/>
                <w:sz w:val="24"/>
                <w:szCs w:val="24"/>
              </w:rPr>
              <w:t>有，具体要求：</w:t>
            </w:r>
          </w:p>
        </w:tc>
      </w:tr>
      <w:tr>
        <w:tblPrEx>
          <w:tblCellMar>
            <w:top w:w="0" w:type="dxa"/>
            <w:left w:w="108" w:type="dxa"/>
            <w:bottom w:w="0" w:type="dxa"/>
            <w:right w:w="108" w:type="dxa"/>
          </w:tblCellMar>
        </w:tblPrEx>
        <w:trPr>
          <w:trHeight w:val="515" w:hRule="atLeast"/>
        </w:trPr>
        <w:tc>
          <w:tcPr>
            <w:tcW w:w="10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3.5.2</w:t>
            </w:r>
          </w:p>
        </w:tc>
        <w:tc>
          <w:tcPr>
            <w:tcW w:w="28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近年财务状况的年份要求</w:t>
            </w:r>
          </w:p>
        </w:tc>
        <w:tc>
          <w:tcPr>
            <w:tcW w:w="5206" w:type="dxa"/>
            <w:tcBorders>
              <w:top w:val="single" w:color="auto" w:sz="4" w:space="0"/>
              <w:left w:val="single" w:color="auto" w:sz="4" w:space="0"/>
              <w:bottom w:val="single" w:color="auto" w:sz="4" w:space="0"/>
              <w:right w:val="single" w:color="auto" w:sz="4" w:space="0"/>
            </w:tcBorders>
            <w:vAlign w:val="center"/>
          </w:tcPr>
          <w:p>
            <w:pPr>
              <w:tabs>
                <w:tab w:val="left" w:pos="1890"/>
              </w:tabs>
              <w:spacing w:line="400" w:lineRule="exact"/>
              <w:rPr>
                <w:rFonts w:hint="eastAsia" w:ascii="宋体" w:hAnsi="宋体" w:eastAsia="宋体" w:cs="宋体"/>
                <w:sz w:val="24"/>
                <w:szCs w:val="24"/>
              </w:rPr>
            </w:pPr>
            <w:r>
              <w:rPr>
                <w:rFonts w:hint="eastAsia" w:ascii="宋体" w:hAnsi="宋体" w:eastAsia="宋体" w:cs="宋体"/>
                <w:sz w:val="24"/>
                <w:szCs w:val="24"/>
              </w:rPr>
              <w:t>2019年、2020年、2021年。</w:t>
            </w:r>
          </w:p>
        </w:tc>
      </w:tr>
      <w:tr>
        <w:tblPrEx>
          <w:tblCellMar>
            <w:top w:w="0" w:type="dxa"/>
            <w:left w:w="108" w:type="dxa"/>
            <w:bottom w:w="0" w:type="dxa"/>
            <w:right w:w="108" w:type="dxa"/>
          </w:tblCellMar>
        </w:tblPrEx>
        <w:trPr>
          <w:trHeight w:val="755" w:hRule="atLeast"/>
        </w:trPr>
        <w:tc>
          <w:tcPr>
            <w:tcW w:w="10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3.5.3</w:t>
            </w:r>
          </w:p>
        </w:tc>
        <w:tc>
          <w:tcPr>
            <w:tcW w:w="28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近年完成的类似项目情况的时间要求</w:t>
            </w:r>
          </w:p>
        </w:tc>
        <w:tc>
          <w:tcPr>
            <w:tcW w:w="520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近5年：2017年6月1日至2022年6月1日，以合同签订时间为准。</w:t>
            </w:r>
          </w:p>
        </w:tc>
      </w:tr>
      <w:tr>
        <w:tblPrEx>
          <w:tblCellMar>
            <w:top w:w="0" w:type="dxa"/>
            <w:left w:w="108" w:type="dxa"/>
            <w:bottom w:w="0" w:type="dxa"/>
            <w:right w:w="108" w:type="dxa"/>
          </w:tblCellMar>
        </w:tblPrEx>
        <w:trPr>
          <w:trHeight w:val="490" w:hRule="atLeast"/>
        </w:trPr>
        <w:tc>
          <w:tcPr>
            <w:tcW w:w="10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3.6.1</w:t>
            </w:r>
          </w:p>
        </w:tc>
        <w:tc>
          <w:tcPr>
            <w:tcW w:w="28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是否允许递交备选投标方案</w:t>
            </w:r>
          </w:p>
        </w:tc>
        <w:tc>
          <w:tcPr>
            <w:tcW w:w="5206" w:type="dxa"/>
            <w:tcBorders>
              <w:top w:val="single" w:color="auto" w:sz="4" w:space="0"/>
              <w:left w:val="single" w:color="auto" w:sz="4" w:space="0"/>
              <w:bottom w:val="single" w:color="auto" w:sz="4" w:space="0"/>
              <w:right w:val="single" w:color="auto" w:sz="4" w:space="0"/>
            </w:tcBorders>
            <w:vAlign w:val="center"/>
          </w:tcPr>
          <w:p>
            <w:pPr>
              <w:pStyle w:val="10"/>
              <w:topLinePunct/>
              <w:spacing w:line="400" w:lineRule="exact"/>
              <w:rPr>
                <w:rFonts w:hint="eastAsia" w:ascii="宋体" w:hAnsi="宋体" w:eastAsia="宋体" w:cs="宋体"/>
                <w:sz w:val="24"/>
                <w:szCs w:val="24"/>
              </w:rPr>
            </w:pPr>
            <w:r>
              <w:rPr>
                <w:rFonts w:hint="eastAsia" w:ascii="宋体" w:hAnsi="宋体" w:eastAsia="宋体" w:cs="宋体"/>
                <w:sz w:val="24"/>
                <w:szCs w:val="24"/>
              </w:rPr>
              <w:t>不允许</w:t>
            </w:r>
          </w:p>
        </w:tc>
      </w:tr>
      <w:tr>
        <w:tblPrEx>
          <w:tblCellMar>
            <w:top w:w="0" w:type="dxa"/>
            <w:left w:w="108" w:type="dxa"/>
            <w:bottom w:w="0" w:type="dxa"/>
            <w:right w:w="108" w:type="dxa"/>
          </w:tblCellMar>
        </w:tblPrEx>
        <w:trPr>
          <w:trHeight w:val="544" w:hRule="atLeast"/>
        </w:trPr>
        <w:tc>
          <w:tcPr>
            <w:tcW w:w="1009" w:type="dxa"/>
            <w:tcBorders>
              <w:top w:val="single" w:color="auto" w:sz="4" w:space="0"/>
              <w:left w:val="single" w:color="auto" w:sz="4" w:space="0"/>
              <w:bottom w:val="single" w:color="auto" w:sz="4" w:space="0"/>
              <w:right w:val="single" w:color="auto" w:sz="4" w:space="0"/>
            </w:tcBorders>
            <w:vAlign w:val="center"/>
          </w:tcPr>
          <w:p>
            <w:pPr>
              <w:wordWrap w:val="0"/>
              <w:topLinePunct/>
              <w:spacing w:line="360" w:lineRule="exact"/>
              <w:jc w:val="center"/>
              <w:rPr>
                <w:rFonts w:hint="eastAsia" w:ascii="宋体" w:hAnsi="宋体" w:eastAsia="宋体" w:cs="宋体"/>
                <w:sz w:val="24"/>
                <w:szCs w:val="24"/>
              </w:rPr>
            </w:pPr>
            <w:r>
              <w:rPr>
                <w:rFonts w:hint="eastAsia" w:ascii="宋体" w:hAnsi="宋体" w:eastAsia="宋体" w:cs="宋体"/>
                <w:sz w:val="24"/>
                <w:szCs w:val="24"/>
              </w:rPr>
              <w:t>3.7.3</w:t>
            </w:r>
          </w:p>
        </w:tc>
        <w:tc>
          <w:tcPr>
            <w:tcW w:w="28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签字或盖章要求</w:t>
            </w:r>
          </w:p>
        </w:tc>
        <w:tc>
          <w:tcPr>
            <w:tcW w:w="520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投标文件正本应用不褪色的材料书写或打印。</w:t>
            </w:r>
          </w:p>
          <w:p>
            <w:pPr>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1、投标文件格式中明确要求投标人法定代表人或其委托代理人签字之处，必须由相关人员亲笔签名，不得使用印章、签名章或其他电子制版签名代替；明确要求投标人加盖单位章之处，必须</w:t>
            </w:r>
            <w:r>
              <w:rPr>
                <w:rFonts w:hint="eastAsia" w:ascii="宋体" w:hAnsi="宋体" w:eastAsia="宋体" w:cs="宋体"/>
                <w:color w:val="auto"/>
                <w:sz w:val="24"/>
                <w:szCs w:val="24"/>
                <w:lang w:eastAsia="zh-CN"/>
              </w:rPr>
              <w:t>逐页</w:t>
            </w:r>
            <w:r>
              <w:rPr>
                <w:rFonts w:hint="eastAsia" w:ascii="宋体" w:hAnsi="宋体" w:eastAsia="宋体" w:cs="宋体"/>
                <w:color w:val="auto"/>
                <w:sz w:val="24"/>
                <w:szCs w:val="24"/>
              </w:rPr>
              <w:t>加盖单位章。</w:t>
            </w:r>
          </w:p>
          <w:p>
            <w:pPr>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投标文件第二个信封（报价文件）任何有文字内容的页（封面及目录除外）应由投标人的法定代表人或其委托代理人逐页签署姓名（本页正文内容已由投标人的法定代表人或其委托代理人签署姓名的可不签署）</w:t>
            </w:r>
            <w:r>
              <w:rPr>
                <w:rFonts w:hint="eastAsia" w:ascii="宋体" w:hAnsi="宋体" w:eastAsia="宋体" w:cs="宋体"/>
                <w:color w:val="auto"/>
                <w:sz w:val="24"/>
                <w:szCs w:val="24"/>
                <w:lang w:eastAsia="zh-CN"/>
              </w:rPr>
              <w:t>并</w:t>
            </w:r>
            <w:r>
              <w:rPr>
                <w:rFonts w:hint="eastAsia" w:ascii="宋体" w:hAnsi="宋体" w:eastAsia="宋体" w:cs="宋体"/>
                <w:color w:val="auto"/>
                <w:sz w:val="24"/>
                <w:szCs w:val="24"/>
              </w:rPr>
              <w:t>逐页加盖投标人单位章（本页正文内容已加盖单位章的除外）。</w:t>
            </w:r>
          </w:p>
          <w:p>
            <w:pPr>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2、如果投标文件由委托代理人签署，则投标人须提交授权委托书，授权委托书应按</w:t>
            </w:r>
            <w:r>
              <w:rPr>
                <w:rFonts w:hint="eastAsia" w:ascii="宋体" w:hAnsi="宋体" w:eastAsia="宋体" w:cs="宋体"/>
                <w:color w:val="auto"/>
                <w:sz w:val="24"/>
                <w:szCs w:val="24"/>
                <w:lang w:eastAsia="zh-CN"/>
              </w:rPr>
              <w:t>第六章</w:t>
            </w:r>
            <w:r>
              <w:rPr>
                <w:rFonts w:hint="eastAsia" w:ascii="宋体" w:hAnsi="宋体" w:eastAsia="宋体" w:cs="宋体"/>
                <w:color w:val="auto"/>
                <w:sz w:val="24"/>
                <w:szCs w:val="24"/>
              </w:rPr>
              <w:t>“投标文件格式”的要求出具，并由法定代表人和委托代理人亲笔签名，不得使用印章、签名章或其他电子制版签名代替。</w:t>
            </w:r>
          </w:p>
          <w:p>
            <w:pPr>
              <w:spacing w:line="400" w:lineRule="exact"/>
              <w:rPr>
                <w:rFonts w:hint="eastAsia" w:ascii="宋体" w:hAnsi="宋体" w:eastAsia="宋体" w:cs="宋体"/>
                <w:sz w:val="24"/>
                <w:szCs w:val="24"/>
              </w:rPr>
            </w:pPr>
            <w:r>
              <w:rPr>
                <w:rFonts w:hint="eastAsia" w:ascii="宋体" w:hAnsi="宋体" w:eastAsia="宋体" w:cs="宋体"/>
                <w:color w:val="auto"/>
                <w:sz w:val="24"/>
                <w:szCs w:val="24"/>
              </w:rPr>
              <w:t>如果由投标人的法定代表人亲自签署投标文件，则投标人须提交法定代表人身份证明，法定代表人身份证明应按</w:t>
            </w:r>
            <w:r>
              <w:rPr>
                <w:rFonts w:hint="eastAsia" w:ascii="宋体" w:hAnsi="宋体" w:eastAsia="宋体" w:cs="宋体"/>
                <w:color w:val="auto"/>
                <w:sz w:val="24"/>
                <w:szCs w:val="24"/>
                <w:lang w:eastAsia="zh-CN"/>
              </w:rPr>
              <w:t>第六章</w:t>
            </w:r>
            <w:r>
              <w:rPr>
                <w:rFonts w:hint="eastAsia" w:ascii="宋体" w:hAnsi="宋体" w:eastAsia="宋体" w:cs="宋体"/>
                <w:color w:val="auto"/>
                <w:sz w:val="24"/>
                <w:szCs w:val="24"/>
              </w:rPr>
              <w:t>“投标文件格式”的要求出具，并由法定代表人亲笔签名，不得使用印章、签名章或其他电子制版签名代替。</w:t>
            </w:r>
          </w:p>
        </w:tc>
      </w:tr>
      <w:tr>
        <w:tblPrEx>
          <w:tblCellMar>
            <w:top w:w="0" w:type="dxa"/>
            <w:left w:w="108" w:type="dxa"/>
            <w:bottom w:w="0" w:type="dxa"/>
            <w:right w:w="108" w:type="dxa"/>
          </w:tblCellMar>
        </w:tblPrEx>
        <w:trPr>
          <w:trHeight w:val="1411" w:hRule="atLeast"/>
        </w:trPr>
        <w:tc>
          <w:tcPr>
            <w:tcW w:w="10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br w:type="page"/>
            </w:r>
            <w:r>
              <w:rPr>
                <w:rFonts w:hint="eastAsia" w:ascii="宋体" w:hAnsi="宋体" w:eastAsia="宋体" w:cs="宋体"/>
                <w:sz w:val="24"/>
                <w:szCs w:val="24"/>
              </w:rPr>
              <w:t>3.7.4</w:t>
            </w:r>
          </w:p>
        </w:tc>
        <w:tc>
          <w:tcPr>
            <w:tcW w:w="28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投标文件副本份数及其他要求</w:t>
            </w:r>
          </w:p>
        </w:tc>
        <w:tc>
          <w:tcPr>
            <w:tcW w:w="5206" w:type="dxa"/>
            <w:tcBorders>
              <w:top w:val="single" w:color="auto" w:sz="4" w:space="0"/>
              <w:left w:val="single" w:color="auto" w:sz="4" w:space="0"/>
              <w:bottom w:val="single" w:color="auto" w:sz="4" w:space="0"/>
              <w:right w:val="single" w:color="auto" w:sz="4" w:space="0"/>
            </w:tcBorders>
            <w:vAlign w:val="center"/>
          </w:tcPr>
          <w:p>
            <w:pPr>
              <w:pStyle w:val="10"/>
              <w:topLinePunct/>
              <w:spacing w:line="400" w:lineRule="exact"/>
              <w:rPr>
                <w:rFonts w:hint="eastAsia" w:ascii="宋体" w:hAnsi="宋体" w:eastAsia="宋体" w:cs="宋体"/>
                <w:sz w:val="24"/>
                <w:szCs w:val="24"/>
              </w:rPr>
            </w:pPr>
            <w:r>
              <w:rPr>
                <w:rFonts w:hint="eastAsia" w:ascii="宋体" w:hAnsi="宋体" w:eastAsia="宋体" w:cs="宋体"/>
                <w:sz w:val="24"/>
                <w:szCs w:val="24"/>
              </w:rPr>
              <w:t>投标文件纸质版副本</w:t>
            </w:r>
            <w:r>
              <w:rPr>
                <w:rFonts w:hint="eastAsia" w:ascii="宋体" w:hAnsi="宋体" w:eastAsia="宋体" w:cs="宋体"/>
                <w:sz w:val="24"/>
                <w:szCs w:val="24"/>
                <w:lang w:val="en-US" w:eastAsia="zh-CN"/>
              </w:rPr>
              <w:t>2</w:t>
            </w:r>
            <w:r>
              <w:rPr>
                <w:rFonts w:hint="eastAsia" w:ascii="宋体" w:hAnsi="宋体" w:eastAsia="宋体" w:cs="宋体"/>
                <w:sz w:val="24"/>
                <w:szCs w:val="24"/>
              </w:rPr>
              <w:t>份，</w:t>
            </w:r>
            <w:r>
              <w:rPr>
                <w:rFonts w:hint="eastAsia" w:ascii="宋体" w:hAnsi="宋体" w:eastAsia="宋体" w:cs="宋体"/>
                <w:sz w:val="24"/>
                <w:szCs w:val="24"/>
                <w:lang w:eastAsia="zh-CN"/>
              </w:rPr>
              <w:t>电子版</w:t>
            </w:r>
            <w:r>
              <w:rPr>
                <w:rFonts w:hint="eastAsia" w:ascii="宋体" w:hAnsi="宋体" w:eastAsia="宋体" w:cs="宋体"/>
                <w:sz w:val="24"/>
                <w:szCs w:val="24"/>
                <w:lang w:val="en-US" w:eastAsia="zh-CN"/>
              </w:rPr>
              <w:t>PDF文件1份，</w:t>
            </w:r>
            <w:r>
              <w:rPr>
                <w:rFonts w:hint="eastAsia" w:ascii="宋体" w:hAnsi="宋体" w:eastAsia="宋体" w:cs="宋体"/>
                <w:sz w:val="24"/>
                <w:szCs w:val="24"/>
              </w:rPr>
              <w:t>电子版与正本纸质文件一致</w:t>
            </w:r>
            <w:r>
              <w:rPr>
                <w:rFonts w:hint="eastAsia" w:ascii="宋体" w:hAnsi="宋体" w:eastAsia="宋体" w:cs="宋体"/>
                <w:sz w:val="24"/>
                <w:szCs w:val="24"/>
                <w:lang w:eastAsia="zh-CN"/>
              </w:rPr>
              <w:t>；</w:t>
            </w:r>
            <w:r>
              <w:rPr>
                <w:rFonts w:hint="eastAsia" w:ascii="宋体" w:hAnsi="宋体" w:eastAsia="宋体" w:cs="宋体"/>
                <w:sz w:val="24"/>
                <w:szCs w:val="24"/>
              </w:rPr>
              <w:t>电子文档内容应齐全，内容应保证与投标文件正本中一致。</w:t>
            </w:r>
          </w:p>
        </w:tc>
      </w:tr>
      <w:tr>
        <w:tblPrEx>
          <w:tblCellMar>
            <w:top w:w="0" w:type="dxa"/>
            <w:left w:w="108" w:type="dxa"/>
            <w:bottom w:w="0" w:type="dxa"/>
            <w:right w:w="108" w:type="dxa"/>
          </w:tblCellMar>
        </w:tblPrEx>
        <w:trPr>
          <w:trHeight w:val="560" w:hRule="atLeast"/>
        </w:trPr>
        <w:tc>
          <w:tcPr>
            <w:tcW w:w="10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4.1</w:t>
            </w:r>
          </w:p>
        </w:tc>
        <w:tc>
          <w:tcPr>
            <w:tcW w:w="28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封套上应载明的信息</w:t>
            </w:r>
          </w:p>
        </w:tc>
        <w:tc>
          <w:tcPr>
            <w:tcW w:w="5206" w:type="dxa"/>
            <w:tcBorders>
              <w:top w:val="single" w:color="auto" w:sz="4" w:space="0"/>
              <w:left w:val="single" w:color="auto" w:sz="4" w:space="0"/>
              <w:bottom w:val="single" w:color="auto" w:sz="4" w:space="0"/>
              <w:right w:val="single" w:color="auto" w:sz="4" w:space="0"/>
            </w:tcBorders>
            <w:vAlign w:val="center"/>
          </w:tcPr>
          <w:p>
            <w:pPr>
              <w:pStyle w:val="10"/>
              <w:topLinePunct/>
              <w:spacing w:line="400" w:lineRule="exact"/>
              <w:rPr>
                <w:rFonts w:hint="eastAsia" w:ascii="宋体" w:hAnsi="宋体" w:eastAsia="宋体" w:cs="宋体"/>
                <w:b/>
                <w:color w:val="auto"/>
                <w:sz w:val="24"/>
                <w:szCs w:val="24"/>
                <w:highlight w:val="none"/>
              </w:rPr>
            </w:pPr>
            <w:r>
              <w:rPr>
                <w:rFonts w:hint="eastAsia" w:ascii="宋体" w:hAnsi="宋体" w:eastAsia="宋体" w:cs="宋体"/>
                <w:bCs/>
                <w:color w:val="auto"/>
                <w:sz w:val="24"/>
                <w:szCs w:val="24"/>
                <w:highlight w:val="none"/>
              </w:rPr>
              <w:t>投标文件第一个信封（商务及技术文件）封套：</w:t>
            </w:r>
          </w:p>
          <w:p>
            <w:pPr>
              <w:pStyle w:val="10"/>
              <w:topLinePunct/>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招标人名称：</w:t>
            </w:r>
            <w:r>
              <w:rPr>
                <w:rFonts w:hint="eastAsia" w:ascii="宋体" w:hAnsi="宋体" w:eastAsia="宋体" w:cs="宋体"/>
                <w:color w:val="auto"/>
                <w:sz w:val="24"/>
                <w:szCs w:val="24"/>
                <w:highlight w:val="none"/>
                <w:u w:val="single"/>
              </w:rPr>
              <w:t xml:space="preserve">                  </w:t>
            </w:r>
          </w:p>
          <w:p>
            <w:pPr>
              <w:pStyle w:val="10"/>
              <w:topLinePunct/>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招标人地址：</w:t>
            </w:r>
            <w:r>
              <w:rPr>
                <w:rFonts w:hint="eastAsia" w:ascii="宋体" w:hAnsi="宋体" w:eastAsia="宋体" w:cs="宋体"/>
                <w:color w:val="auto"/>
                <w:sz w:val="24"/>
                <w:szCs w:val="24"/>
                <w:highlight w:val="none"/>
                <w:u w:val="single"/>
              </w:rPr>
              <w:t xml:space="preserve">                  </w:t>
            </w:r>
          </w:p>
          <w:p>
            <w:pPr>
              <w:pStyle w:val="10"/>
              <w:topLinePunct/>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（项目名称）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none"/>
                <w:lang w:eastAsia="zh-CN"/>
              </w:rPr>
              <w:t>第</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none"/>
                <w:lang w:val="en-US" w:eastAsia="zh-CN"/>
              </w:rPr>
              <w:t xml:space="preserve">标段 </w:t>
            </w:r>
            <w:r>
              <w:rPr>
                <w:rFonts w:hint="eastAsia" w:ascii="宋体" w:hAnsi="宋体" w:eastAsia="宋体" w:cs="宋体"/>
                <w:color w:val="auto"/>
                <w:sz w:val="24"/>
                <w:szCs w:val="24"/>
                <w:highlight w:val="none"/>
              </w:rPr>
              <w:t>第一个信封（商务及技术文件）投标文件</w:t>
            </w:r>
          </w:p>
          <w:p>
            <w:pPr>
              <w:pStyle w:val="10"/>
              <w:topLinePunct/>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招标编号：</w:t>
            </w:r>
            <w:r>
              <w:rPr>
                <w:rFonts w:hint="eastAsia" w:ascii="宋体" w:hAnsi="宋体" w:eastAsia="宋体" w:cs="宋体"/>
                <w:color w:val="auto"/>
                <w:sz w:val="24"/>
                <w:szCs w:val="24"/>
                <w:highlight w:val="none"/>
                <w:u w:val="single"/>
              </w:rPr>
              <w:t xml:space="preserve">            </w:t>
            </w:r>
          </w:p>
          <w:p>
            <w:pPr>
              <w:pStyle w:val="10"/>
              <w:topLinePunct/>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时</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分前不得开启</w:t>
            </w:r>
          </w:p>
          <w:p>
            <w:pPr>
              <w:pStyle w:val="10"/>
              <w:topLinePunct/>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w:t>
            </w:r>
            <w:r>
              <w:rPr>
                <w:rFonts w:hint="eastAsia" w:ascii="宋体" w:hAnsi="宋体" w:eastAsia="宋体" w:cs="宋体"/>
                <w:color w:val="auto"/>
                <w:sz w:val="24"/>
                <w:szCs w:val="24"/>
                <w:highlight w:val="none"/>
                <w:u w:val="single"/>
              </w:rPr>
              <w:t xml:space="preserve">                  </w:t>
            </w:r>
          </w:p>
          <w:p>
            <w:pPr>
              <w:pStyle w:val="10"/>
              <w:topLinePunct/>
              <w:spacing w:line="400" w:lineRule="exact"/>
              <w:rPr>
                <w:rFonts w:hint="eastAsia" w:ascii="宋体" w:hAnsi="宋体" w:eastAsia="宋体" w:cs="宋体"/>
                <w:color w:val="auto"/>
                <w:sz w:val="24"/>
                <w:szCs w:val="24"/>
                <w:highlight w:val="none"/>
              </w:rPr>
            </w:pPr>
          </w:p>
          <w:p>
            <w:pPr>
              <w:pStyle w:val="10"/>
              <w:topLinePunct/>
              <w:spacing w:line="40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投标文件第二个信封（报价文件）封套：</w:t>
            </w:r>
          </w:p>
          <w:p>
            <w:pPr>
              <w:pStyle w:val="10"/>
              <w:topLinePunct/>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招标人名称：</w:t>
            </w:r>
            <w:r>
              <w:rPr>
                <w:rFonts w:hint="eastAsia" w:ascii="宋体" w:hAnsi="宋体" w:eastAsia="宋体" w:cs="宋体"/>
                <w:color w:val="auto"/>
                <w:sz w:val="24"/>
                <w:szCs w:val="24"/>
                <w:highlight w:val="none"/>
                <w:u w:val="single"/>
              </w:rPr>
              <w:t xml:space="preserve">                  </w:t>
            </w:r>
          </w:p>
          <w:p>
            <w:pPr>
              <w:pStyle w:val="10"/>
              <w:topLinePunct/>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招标人地址：</w:t>
            </w:r>
            <w:r>
              <w:rPr>
                <w:rFonts w:hint="eastAsia" w:ascii="宋体" w:hAnsi="宋体" w:eastAsia="宋体" w:cs="宋体"/>
                <w:color w:val="auto"/>
                <w:sz w:val="24"/>
                <w:szCs w:val="24"/>
                <w:highlight w:val="none"/>
                <w:u w:val="single"/>
              </w:rPr>
              <w:t xml:space="preserve">                  </w:t>
            </w:r>
          </w:p>
          <w:p>
            <w:pPr>
              <w:pStyle w:val="10"/>
              <w:topLinePunct/>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（项目名称）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none"/>
                <w:lang w:eastAsia="zh-CN"/>
              </w:rPr>
              <w:t>第</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none"/>
                <w:lang w:val="en-US" w:eastAsia="zh-CN"/>
              </w:rPr>
              <w:t xml:space="preserve">标段 </w:t>
            </w:r>
            <w:r>
              <w:rPr>
                <w:rFonts w:hint="eastAsia" w:ascii="宋体" w:hAnsi="宋体" w:eastAsia="宋体" w:cs="宋体"/>
                <w:color w:val="auto"/>
                <w:sz w:val="24"/>
                <w:szCs w:val="24"/>
                <w:highlight w:val="none"/>
              </w:rPr>
              <w:t>第二个信封（报价文件）投标文件</w:t>
            </w:r>
          </w:p>
          <w:p>
            <w:pPr>
              <w:pStyle w:val="10"/>
              <w:topLinePunct/>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招标编号：</w:t>
            </w:r>
            <w:r>
              <w:rPr>
                <w:rFonts w:hint="eastAsia" w:ascii="宋体" w:hAnsi="宋体" w:eastAsia="宋体" w:cs="宋体"/>
                <w:color w:val="auto"/>
                <w:sz w:val="24"/>
                <w:szCs w:val="24"/>
                <w:highlight w:val="none"/>
                <w:u w:val="single"/>
              </w:rPr>
              <w:t xml:space="preserve">            </w:t>
            </w:r>
          </w:p>
          <w:p>
            <w:pPr>
              <w:pStyle w:val="10"/>
              <w:topLinePunct/>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在投标文件第二个信封（报价文件）开标前不得开启</w:t>
            </w:r>
          </w:p>
          <w:p>
            <w:pPr>
              <w:pStyle w:val="10"/>
              <w:topLinePunct/>
              <w:spacing w:line="400" w:lineRule="exac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投标人名称：</w:t>
            </w:r>
            <w:r>
              <w:rPr>
                <w:rFonts w:hint="eastAsia" w:ascii="宋体" w:hAnsi="宋体" w:eastAsia="宋体" w:cs="宋体"/>
                <w:color w:val="auto"/>
                <w:sz w:val="24"/>
                <w:szCs w:val="24"/>
                <w:highlight w:val="none"/>
                <w:u w:val="single"/>
              </w:rPr>
              <w:t xml:space="preserve">                  </w:t>
            </w:r>
          </w:p>
          <w:p>
            <w:pPr>
              <w:pStyle w:val="10"/>
              <w:topLinePunct/>
              <w:spacing w:line="400" w:lineRule="exac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投标人地址：</w:t>
            </w:r>
            <w:r>
              <w:rPr>
                <w:rFonts w:hint="eastAsia" w:ascii="宋体" w:hAnsi="宋体" w:eastAsia="宋体" w:cs="宋体"/>
                <w:color w:val="auto"/>
                <w:sz w:val="24"/>
                <w:szCs w:val="24"/>
                <w:highlight w:val="none"/>
                <w:u w:val="single"/>
              </w:rPr>
              <w:t xml:space="preserve">                  </w:t>
            </w:r>
          </w:p>
          <w:p>
            <w:pPr>
              <w:pStyle w:val="10"/>
              <w:topLinePunct/>
              <w:spacing w:line="400" w:lineRule="exact"/>
              <w:rPr>
                <w:rFonts w:hint="eastAsia" w:ascii="宋体" w:hAnsi="宋体" w:eastAsia="宋体" w:cs="宋体"/>
                <w:color w:val="auto"/>
                <w:sz w:val="24"/>
                <w:szCs w:val="24"/>
                <w:highlight w:val="none"/>
              </w:rPr>
            </w:pPr>
          </w:p>
          <w:p>
            <w:pPr>
              <w:pStyle w:val="10"/>
              <w:topLinePunct/>
              <w:spacing w:line="40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银行保函封套：</w:t>
            </w:r>
          </w:p>
          <w:p>
            <w:pPr>
              <w:pStyle w:val="10"/>
              <w:topLinePunct/>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招标人名称：</w:t>
            </w:r>
            <w:r>
              <w:rPr>
                <w:rFonts w:hint="eastAsia" w:ascii="宋体" w:hAnsi="宋体" w:eastAsia="宋体" w:cs="宋体"/>
                <w:color w:val="auto"/>
                <w:sz w:val="24"/>
                <w:szCs w:val="24"/>
                <w:highlight w:val="none"/>
                <w:u w:val="single"/>
              </w:rPr>
              <w:t xml:space="preserve">                  </w:t>
            </w:r>
          </w:p>
          <w:p>
            <w:pPr>
              <w:pStyle w:val="10"/>
              <w:topLinePunct/>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招标人地址：</w:t>
            </w:r>
            <w:r>
              <w:rPr>
                <w:rFonts w:hint="eastAsia" w:ascii="宋体" w:hAnsi="宋体" w:eastAsia="宋体" w:cs="宋体"/>
                <w:color w:val="auto"/>
                <w:sz w:val="24"/>
                <w:szCs w:val="24"/>
                <w:highlight w:val="none"/>
                <w:u w:val="single"/>
              </w:rPr>
              <w:t xml:space="preserve">                  </w:t>
            </w:r>
          </w:p>
          <w:p>
            <w:pPr>
              <w:pStyle w:val="10"/>
              <w:topLinePunct/>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（项目名称）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none"/>
                <w:lang w:eastAsia="zh-CN"/>
              </w:rPr>
              <w:t>第</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none"/>
                <w:lang w:val="en-US" w:eastAsia="zh-CN"/>
              </w:rPr>
              <w:t xml:space="preserve">标段 </w:t>
            </w:r>
            <w:r>
              <w:rPr>
                <w:rFonts w:hint="eastAsia" w:ascii="宋体" w:hAnsi="宋体" w:eastAsia="宋体" w:cs="宋体"/>
                <w:color w:val="auto"/>
                <w:sz w:val="24"/>
                <w:szCs w:val="24"/>
                <w:highlight w:val="none"/>
              </w:rPr>
              <w:t>投标保证金（银行保函原件）</w:t>
            </w:r>
          </w:p>
          <w:p>
            <w:pPr>
              <w:pStyle w:val="10"/>
              <w:topLinePunct/>
              <w:spacing w:line="400" w:lineRule="exact"/>
              <w:rPr>
                <w:rFonts w:hint="eastAsia" w:ascii="宋体" w:hAnsi="宋体" w:eastAsia="宋体" w:cs="宋体"/>
                <w:sz w:val="24"/>
                <w:szCs w:val="24"/>
              </w:rPr>
            </w:pPr>
            <w:r>
              <w:rPr>
                <w:rFonts w:hint="eastAsia" w:ascii="宋体" w:hAnsi="宋体" w:eastAsia="宋体" w:cs="宋体"/>
                <w:color w:val="auto"/>
                <w:sz w:val="24"/>
                <w:szCs w:val="24"/>
                <w:highlight w:val="none"/>
              </w:rPr>
              <w:t>招标编号：</w:t>
            </w:r>
            <w:r>
              <w:rPr>
                <w:rFonts w:hint="eastAsia" w:ascii="宋体" w:hAnsi="宋体" w:eastAsia="宋体" w:cs="宋体"/>
                <w:color w:val="auto"/>
                <w:sz w:val="24"/>
                <w:szCs w:val="24"/>
                <w:highlight w:val="none"/>
                <w:u w:val="single"/>
              </w:rPr>
              <w:t xml:space="preserve">            </w:t>
            </w:r>
          </w:p>
        </w:tc>
      </w:tr>
      <w:tr>
        <w:tblPrEx>
          <w:tblCellMar>
            <w:top w:w="0" w:type="dxa"/>
            <w:left w:w="108" w:type="dxa"/>
            <w:bottom w:w="0" w:type="dxa"/>
            <w:right w:w="108" w:type="dxa"/>
          </w:tblCellMar>
        </w:tblPrEx>
        <w:trPr>
          <w:trHeight w:val="515" w:hRule="atLeast"/>
        </w:trPr>
        <w:tc>
          <w:tcPr>
            <w:tcW w:w="10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4.2.3</w:t>
            </w:r>
          </w:p>
        </w:tc>
        <w:tc>
          <w:tcPr>
            <w:tcW w:w="28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是否退还投标文件</w:t>
            </w:r>
          </w:p>
        </w:tc>
        <w:tc>
          <w:tcPr>
            <w:tcW w:w="520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sz w:val="24"/>
                <w:szCs w:val="24"/>
              </w:rPr>
            </w:pPr>
            <w:r>
              <w:rPr>
                <w:rFonts w:hint="eastAsia" w:ascii="宋体" w:hAnsi="宋体" w:eastAsia="宋体" w:cs="宋体"/>
                <w:color w:val="auto"/>
                <w:sz w:val="24"/>
                <w:szCs w:val="24"/>
                <w:highlight w:val="none"/>
              </w:rPr>
              <w:t>未通过第一信封（商务及技术文件）评审的投标人的第二信封（投标报价文件）将不予开封，当场退还给投标人。</w:t>
            </w:r>
          </w:p>
        </w:tc>
      </w:tr>
      <w:tr>
        <w:tblPrEx>
          <w:tblCellMar>
            <w:top w:w="0" w:type="dxa"/>
            <w:left w:w="108" w:type="dxa"/>
            <w:bottom w:w="0" w:type="dxa"/>
            <w:right w:w="108" w:type="dxa"/>
          </w:tblCellMar>
        </w:tblPrEx>
        <w:tc>
          <w:tcPr>
            <w:tcW w:w="10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5.1</w:t>
            </w:r>
          </w:p>
        </w:tc>
        <w:tc>
          <w:tcPr>
            <w:tcW w:w="28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开标时间和地点</w:t>
            </w:r>
          </w:p>
        </w:tc>
        <w:tc>
          <w:tcPr>
            <w:tcW w:w="52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投标文件第一个信封（商务及技术文件）开标时间：同投标截止时间</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投标文件第一个信封（商务及技术文件）开标地点：同递交投标文件地点</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投标文件第二个信封（报价文件）开标时间：</w:t>
            </w:r>
            <w:r>
              <w:rPr>
                <w:rFonts w:hint="eastAsia" w:ascii="宋体" w:hAnsi="宋体" w:eastAsia="宋体" w:cs="宋体"/>
                <w:color w:val="auto"/>
                <w:sz w:val="24"/>
                <w:szCs w:val="24"/>
                <w:highlight w:val="none"/>
                <w:u w:val="single"/>
              </w:rPr>
              <w:t>在投标文件第一个信封开标会议上公布</w:t>
            </w:r>
            <w:r>
              <w:rPr>
                <w:rFonts w:hint="eastAsia" w:ascii="宋体" w:hAnsi="宋体" w:eastAsia="宋体" w:cs="宋体"/>
                <w:color w:val="auto"/>
                <w:sz w:val="24"/>
                <w:szCs w:val="24"/>
                <w:highlight w:val="none"/>
              </w:rPr>
              <w:t xml:space="preserve">        </w:t>
            </w:r>
          </w:p>
          <w:p>
            <w:pPr>
              <w:spacing w:line="360" w:lineRule="exact"/>
              <w:rPr>
                <w:rFonts w:hint="eastAsia" w:ascii="宋体" w:hAnsi="宋体" w:eastAsia="宋体" w:cs="宋体"/>
                <w:sz w:val="24"/>
                <w:szCs w:val="24"/>
              </w:rPr>
            </w:pPr>
            <w:r>
              <w:rPr>
                <w:rFonts w:hint="eastAsia" w:ascii="宋体" w:hAnsi="宋体" w:eastAsia="宋体" w:cs="宋体"/>
                <w:color w:val="auto"/>
                <w:sz w:val="24"/>
                <w:szCs w:val="24"/>
                <w:highlight w:val="none"/>
              </w:rPr>
              <w:t>投标文件第二个信封（报价文件）开标地点：</w:t>
            </w:r>
            <w:r>
              <w:rPr>
                <w:rFonts w:hint="eastAsia" w:ascii="宋体" w:hAnsi="宋体" w:eastAsia="宋体" w:cs="宋体"/>
                <w:color w:val="auto"/>
                <w:sz w:val="24"/>
                <w:szCs w:val="24"/>
                <w:highlight w:val="none"/>
                <w:u w:val="single"/>
              </w:rPr>
              <w:t>在投标文件第一个信封开标会议上公布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br w:type="page"/>
            </w:r>
            <w:r>
              <w:rPr>
                <w:rFonts w:hint="eastAsia" w:ascii="宋体" w:hAnsi="宋体" w:eastAsia="宋体" w:cs="宋体"/>
                <w:sz w:val="24"/>
                <w:szCs w:val="24"/>
              </w:rPr>
              <w:t>5.2.1</w:t>
            </w:r>
          </w:p>
        </w:tc>
        <w:tc>
          <w:tcPr>
            <w:tcW w:w="28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第一个信封（商务及技术文件）开标程序</w:t>
            </w:r>
          </w:p>
        </w:tc>
        <w:tc>
          <w:tcPr>
            <w:tcW w:w="520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（4）密封情况检查：</w:t>
            </w:r>
            <w:r>
              <w:rPr>
                <w:rFonts w:hint="eastAsia" w:ascii="宋体" w:hAnsi="宋体" w:eastAsia="宋体" w:cs="宋体"/>
                <w:color w:val="auto"/>
                <w:sz w:val="24"/>
                <w:szCs w:val="24"/>
                <w:highlight w:val="none"/>
                <w:u w:val="single"/>
              </w:rPr>
              <w:t>检查商务及技术文件是否存在提前开启情况</w:t>
            </w:r>
          </w:p>
          <w:p>
            <w:pPr>
              <w:spacing w:line="400" w:lineRule="exact"/>
              <w:rPr>
                <w:rFonts w:hint="eastAsia" w:ascii="宋体" w:hAnsi="宋体" w:eastAsia="宋体" w:cs="宋体"/>
                <w:sz w:val="24"/>
                <w:szCs w:val="24"/>
              </w:rPr>
            </w:pPr>
            <w:r>
              <w:rPr>
                <w:rFonts w:hint="eastAsia" w:ascii="宋体" w:hAnsi="宋体" w:eastAsia="宋体" w:cs="宋体"/>
                <w:color w:val="auto"/>
                <w:sz w:val="24"/>
                <w:szCs w:val="24"/>
                <w:highlight w:val="none"/>
              </w:rPr>
              <w:t>（5）开标顺序：</w:t>
            </w:r>
            <w:r>
              <w:rPr>
                <w:rFonts w:hint="eastAsia" w:ascii="宋体" w:hAnsi="宋体" w:eastAsia="宋体" w:cs="宋体"/>
                <w:color w:val="auto"/>
                <w:sz w:val="24"/>
                <w:szCs w:val="24"/>
                <w:highlight w:val="none"/>
                <w:u w:val="single"/>
              </w:rPr>
              <w:t xml:space="preserve">随机顺序开启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5.2.3</w:t>
            </w:r>
          </w:p>
        </w:tc>
        <w:tc>
          <w:tcPr>
            <w:tcW w:w="28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第二个信封（报价文件）开标程序</w:t>
            </w:r>
          </w:p>
        </w:tc>
        <w:tc>
          <w:tcPr>
            <w:tcW w:w="520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（4）密封情况检查：检查报价文件是否存在提前开启情况</w:t>
            </w:r>
          </w:p>
          <w:p>
            <w:pPr>
              <w:spacing w:line="400" w:lineRule="exact"/>
              <w:rPr>
                <w:rFonts w:hint="eastAsia" w:ascii="宋体" w:hAnsi="宋体" w:eastAsia="宋体" w:cs="宋体"/>
                <w:sz w:val="24"/>
                <w:szCs w:val="24"/>
              </w:rPr>
            </w:pPr>
            <w:r>
              <w:rPr>
                <w:rFonts w:hint="eastAsia" w:ascii="宋体" w:hAnsi="宋体" w:eastAsia="宋体" w:cs="宋体"/>
                <w:color w:val="auto"/>
                <w:sz w:val="24"/>
                <w:szCs w:val="24"/>
                <w:highlight w:val="none"/>
              </w:rPr>
              <w:t>（5）开标顺序：“随机顺序”开标。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2" w:hRule="atLeast"/>
        </w:trPr>
        <w:tc>
          <w:tcPr>
            <w:tcW w:w="1009" w:type="dxa"/>
            <w:tcBorders>
              <w:bottom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6.1.1</w:t>
            </w:r>
          </w:p>
        </w:tc>
        <w:tc>
          <w:tcPr>
            <w:tcW w:w="2879" w:type="dxa"/>
            <w:tcBorders>
              <w:bottom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评标委员会的组建</w:t>
            </w:r>
          </w:p>
        </w:tc>
        <w:tc>
          <w:tcPr>
            <w:tcW w:w="5206" w:type="dxa"/>
            <w:tcBorders>
              <w:bottom w:val="single" w:color="auto" w:sz="4" w:space="0"/>
            </w:tcBorders>
            <w:vAlign w:val="center"/>
          </w:tcPr>
          <w:p>
            <w:pPr>
              <w:spacing w:line="380" w:lineRule="exact"/>
              <w:rPr>
                <w:rFonts w:hint="eastAsia" w:ascii="宋体" w:hAnsi="宋体" w:eastAsia="宋体" w:cs="宋体"/>
                <w:sz w:val="24"/>
                <w:szCs w:val="24"/>
              </w:rPr>
            </w:pPr>
            <w:r>
              <w:rPr>
                <w:rFonts w:hint="eastAsia" w:ascii="宋体" w:hAnsi="宋体" w:eastAsia="宋体" w:cs="宋体"/>
                <w:sz w:val="24"/>
                <w:szCs w:val="24"/>
              </w:rPr>
              <w:t>评标委员会构成：5人，其中招标人代表1人，专家4人；</w:t>
            </w:r>
          </w:p>
          <w:p>
            <w:pPr>
              <w:spacing w:line="380" w:lineRule="exact"/>
              <w:rPr>
                <w:rFonts w:hint="eastAsia" w:ascii="宋体" w:hAnsi="宋体" w:eastAsia="宋体" w:cs="宋体"/>
                <w:sz w:val="24"/>
                <w:szCs w:val="24"/>
              </w:rPr>
            </w:pPr>
            <w:r>
              <w:rPr>
                <w:rFonts w:hint="eastAsia" w:ascii="宋体" w:hAnsi="宋体" w:eastAsia="宋体" w:cs="宋体"/>
                <w:sz w:val="24"/>
                <w:szCs w:val="24"/>
              </w:rPr>
              <w:t>评标专家确定方式：从陕西省综合评标专家库中随机抽取。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9" w:type="dxa"/>
            <w:tcBorders>
              <w:bottom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6.3.2</w:t>
            </w:r>
          </w:p>
        </w:tc>
        <w:tc>
          <w:tcPr>
            <w:tcW w:w="2879" w:type="dxa"/>
            <w:tcBorders>
              <w:bottom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评标委员会推荐中标候选人的人数</w:t>
            </w:r>
          </w:p>
        </w:tc>
        <w:tc>
          <w:tcPr>
            <w:tcW w:w="5206" w:type="dxa"/>
            <w:tcBorders>
              <w:bottom w:val="single" w:color="auto" w:sz="4" w:space="0"/>
            </w:tcBorders>
            <w:vAlign w:val="center"/>
          </w:tcPr>
          <w:p>
            <w:pPr>
              <w:spacing w:line="400" w:lineRule="exact"/>
              <w:rPr>
                <w:rFonts w:hint="eastAsia" w:ascii="宋体" w:hAnsi="宋体" w:eastAsia="宋体" w:cs="宋体"/>
                <w:spacing w:val="10"/>
                <w:sz w:val="24"/>
                <w:szCs w:val="24"/>
                <w:bdr w:val="single" w:color="auto" w:sz="4" w:space="0"/>
              </w:rPr>
            </w:pPr>
            <w:r>
              <w:rPr>
                <w:rFonts w:hint="eastAsia" w:ascii="宋体" w:hAnsi="宋体" w:eastAsia="宋体" w:cs="宋体"/>
                <w:sz w:val="24"/>
                <w:szCs w:val="24"/>
              </w:rPr>
              <w:t>推荐的中标候选人的人数为3名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9" w:type="dxa"/>
            <w:tcBorders>
              <w:top w:val="single" w:color="auto" w:sz="4" w:space="0"/>
              <w:left w:val="single" w:color="auto" w:sz="4" w:space="0"/>
              <w:bottom w:val="nil"/>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7.1</w:t>
            </w:r>
          </w:p>
        </w:tc>
        <w:tc>
          <w:tcPr>
            <w:tcW w:w="2879" w:type="dxa"/>
            <w:tcBorders>
              <w:top w:val="single" w:color="auto" w:sz="4" w:space="0"/>
              <w:left w:val="single" w:color="auto" w:sz="4" w:space="0"/>
              <w:bottom w:val="nil"/>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中标候选人公示媒介及期限</w:t>
            </w:r>
          </w:p>
        </w:tc>
        <w:tc>
          <w:tcPr>
            <w:tcW w:w="5206" w:type="dxa"/>
            <w:tcBorders>
              <w:top w:val="single" w:color="auto" w:sz="4" w:space="0"/>
              <w:left w:val="single" w:color="auto" w:sz="4" w:space="0"/>
              <w:bottom w:val="nil"/>
              <w:right w:val="single" w:color="auto" w:sz="4" w:space="0"/>
            </w:tcBorders>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公示媒介：同招标公告发布媒介</w:t>
            </w:r>
          </w:p>
          <w:p>
            <w:pPr>
              <w:spacing w:line="400" w:lineRule="exact"/>
              <w:rPr>
                <w:rFonts w:hint="eastAsia" w:ascii="宋体" w:hAnsi="宋体" w:eastAsia="宋体" w:cs="宋体"/>
                <w:sz w:val="24"/>
                <w:szCs w:val="24"/>
              </w:rPr>
            </w:pPr>
            <w:r>
              <w:rPr>
                <w:rFonts w:hint="eastAsia" w:ascii="宋体" w:hAnsi="宋体" w:eastAsia="宋体" w:cs="宋体"/>
                <w:sz w:val="24"/>
                <w:szCs w:val="24"/>
              </w:rPr>
              <w:t>公示期限：</w:t>
            </w:r>
            <w:r>
              <w:rPr>
                <w:rFonts w:hint="eastAsia" w:ascii="宋体" w:hAnsi="宋体" w:eastAsia="宋体" w:cs="宋体"/>
                <w:sz w:val="24"/>
                <w:szCs w:val="24"/>
                <w:u w:val="single"/>
              </w:rPr>
              <w:t xml:space="preserve">  3  </w:t>
            </w:r>
            <w:r>
              <w:rPr>
                <w:rFonts w:hint="eastAsia" w:ascii="宋体" w:hAnsi="宋体" w:eastAsia="宋体" w:cs="宋体"/>
                <w:sz w:val="24"/>
                <w:szCs w:val="24"/>
              </w:rPr>
              <w:t>日</w:t>
            </w:r>
          </w:p>
          <w:p>
            <w:pPr>
              <w:spacing w:line="400" w:lineRule="exact"/>
              <w:rPr>
                <w:rFonts w:hint="eastAsia" w:ascii="宋体" w:hAnsi="宋体" w:eastAsia="宋体" w:cs="宋体"/>
                <w:sz w:val="24"/>
                <w:szCs w:val="24"/>
              </w:rPr>
            </w:pPr>
            <w:r>
              <w:rPr>
                <w:rFonts w:hint="eastAsia" w:ascii="宋体" w:hAnsi="宋体" w:eastAsia="宋体" w:cs="宋体"/>
                <w:sz w:val="24"/>
                <w:szCs w:val="24"/>
              </w:rPr>
              <w:t>公示的其他内容：</w:t>
            </w:r>
            <w:r>
              <w:rPr>
                <w:rFonts w:hint="eastAsia" w:ascii="宋体" w:hAnsi="宋体" w:eastAsia="宋体" w:cs="宋体"/>
                <w:sz w:val="24"/>
                <w:szCs w:val="24"/>
                <w:u w:val="single"/>
              </w:rPr>
              <w:t xml:space="preserve">  无  </w:t>
            </w:r>
          </w:p>
        </w:tc>
      </w:tr>
      <w:tr>
        <w:tblPrEx>
          <w:tblCellMar>
            <w:top w:w="0" w:type="dxa"/>
            <w:left w:w="108" w:type="dxa"/>
            <w:bottom w:w="0" w:type="dxa"/>
            <w:right w:w="108" w:type="dxa"/>
          </w:tblCellMar>
        </w:tblPrEx>
        <w:tc>
          <w:tcPr>
            <w:tcW w:w="10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7.4</w:t>
            </w:r>
          </w:p>
        </w:tc>
        <w:tc>
          <w:tcPr>
            <w:tcW w:w="28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是否授权评标委员会确定中标人</w:t>
            </w:r>
          </w:p>
        </w:tc>
        <w:tc>
          <w:tcPr>
            <w:tcW w:w="520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宋体" w:hAnsi="宋体" w:eastAsia="宋体" w:cs="宋体"/>
                <w:sz w:val="24"/>
                <w:szCs w:val="24"/>
              </w:rPr>
            </w:pPr>
            <w:r>
              <w:rPr>
                <w:rFonts w:hint="eastAsia" w:ascii="宋体" w:hAnsi="宋体" w:eastAsia="宋体" w:cs="宋体"/>
                <w:sz w:val="24"/>
                <w:szCs w:val="24"/>
              </w:rPr>
              <w:t>否</w:t>
            </w:r>
          </w:p>
        </w:tc>
      </w:tr>
      <w:tr>
        <w:tblPrEx>
          <w:tblCellMar>
            <w:top w:w="0" w:type="dxa"/>
            <w:left w:w="108" w:type="dxa"/>
            <w:bottom w:w="0" w:type="dxa"/>
            <w:right w:w="108" w:type="dxa"/>
          </w:tblCellMar>
        </w:tblPrEx>
        <w:tc>
          <w:tcPr>
            <w:tcW w:w="10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7.5</w:t>
            </w:r>
          </w:p>
        </w:tc>
        <w:tc>
          <w:tcPr>
            <w:tcW w:w="28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中标通知书和中标结果通知发出的形式</w:t>
            </w:r>
          </w:p>
        </w:tc>
        <w:tc>
          <w:tcPr>
            <w:tcW w:w="520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中标通知书发出的形式：书面形式。</w:t>
            </w:r>
          </w:p>
          <w:p>
            <w:pPr>
              <w:spacing w:line="400" w:lineRule="exact"/>
              <w:rPr>
                <w:rFonts w:hint="eastAsia" w:ascii="宋体" w:hAnsi="宋体" w:eastAsia="宋体" w:cs="宋体"/>
                <w:sz w:val="24"/>
                <w:szCs w:val="24"/>
              </w:rPr>
            </w:pPr>
            <w:r>
              <w:rPr>
                <w:rFonts w:hint="eastAsia" w:ascii="宋体" w:hAnsi="宋体" w:eastAsia="宋体" w:cs="宋体"/>
                <w:sz w:val="24"/>
                <w:szCs w:val="24"/>
              </w:rPr>
              <w:t>中标结果通知发出的形式：书面形式。</w:t>
            </w:r>
          </w:p>
        </w:tc>
      </w:tr>
      <w:tr>
        <w:tblPrEx>
          <w:tblCellMar>
            <w:top w:w="0" w:type="dxa"/>
            <w:left w:w="108" w:type="dxa"/>
            <w:bottom w:w="0" w:type="dxa"/>
            <w:right w:w="108" w:type="dxa"/>
          </w:tblCellMar>
        </w:tblPrEx>
        <w:tc>
          <w:tcPr>
            <w:tcW w:w="10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7.6</w:t>
            </w:r>
          </w:p>
        </w:tc>
        <w:tc>
          <w:tcPr>
            <w:tcW w:w="28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中标结果公告媒介及期限</w:t>
            </w:r>
          </w:p>
        </w:tc>
        <w:tc>
          <w:tcPr>
            <w:tcW w:w="520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公告媒介：同招标公告发布媒介</w:t>
            </w:r>
          </w:p>
          <w:p>
            <w:pPr>
              <w:spacing w:line="400" w:lineRule="exact"/>
              <w:rPr>
                <w:rFonts w:hint="eastAsia" w:ascii="宋体" w:hAnsi="宋体" w:eastAsia="宋体" w:cs="宋体"/>
                <w:sz w:val="24"/>
                <w:szCs w:val="24"/>
              </w:rPr>
            </w:pPr>
            <w:r>
              <w:rPr>
                <w:rFonts w:hint="eastAsia" w:ascii="宋体" w:hAnsi="宋体" w:eastAsia="宋体" w:cs="宋体"/>
                <w:sz w:val="24"/>
                <w:szCs w:val="24"/>
              </w:rPr>
              <w:t>公告期限：</w:t>
            </w:r>
            <w:r>
              <w:rPr>
                <w:rFonts w:hint="eastAsia" w:ascii="宋体" w:hAnsi="宋体" w:eastAsia="宋体" w:cs="宋体"/>
                <w:sz w:val="24"/>
                <w:szCs w:val="24"/>
                <w:u w:val="single"/>
              </w:rPr>
              <w:t xml:space="preserve"> 3 </w:t>
            </w:r>
            <w:r>
              <w:rPr>
                <w:rFonts w:hint="eastAsia" w:ascii="宋体" w:hAnsi="宋体" w:eastAsia="宋体" w:cs="宋体"/>
                <w:sz w:val="24"/>
                <w:szCs w:val="24"/>
              </w:rPr>
              <w:t>日</w:t>
            </w:r>
          </w:p>
        </w:tc>
      </w:tr>
      <w:tr>
        <w:tblPrEx>
          <w:tblCellMar>
            <w:top w:w="0" w:type="dxa"/>
            <w:left w:w="108" w:type="dxa"/>
            <w:bottom w:w="0" w:type="dxa"/>
            <w:right w:w="108" w:type="dxa"/>
          </w:tblCellMar>
        </w:tblPrEx>
        <w:tc>
          <w:tcPr>
            <w:tcW w:w="10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7.7</w:t>
            </w:r>
          </w:p>
        </w:tc>
        <w:tc>
          <w:tcPr>
            <w:tcW w:w="28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技术成果经济补偿</w:t>
            </w:r>
          </w:p>
        </w:tc>
        <w:tc>
          <w:tcPr>
            <w:tcW w:w="5206" w:type="dxa"/>
            <w:tcBorders>
              <w:top w:val="single" w:color="auto" w:sz="4" w:space="0"/>
              <w:left w:val="single" w:color="auto" w:sz="4" w:space="0"/>
              <w:bottom w:val="single" w:color="auto" w:sz="4" w:space="0"/>
              <w:right w:val="single" w:color="auto" w:sz="4" w:space="0"/>
            </w:tcBorders>
            <w:vAlign w:val="center"/>
          </w:tcPr>
          <w:p>
            <w:pPr>
              <w:tabs>
                <w:tab w:val="left" w:pos="360"/>
              </w:tabs>
              <w:spacing w:line="400" w:lineRule="exact"/>
              <w:rPr>
                <w:rFonts w:hint="eastAsia" w:ascii="宋体" w:hAnsi="宋体" w:eastAsia="宋体" w:cs="宋体"/>
                <w:sz w:val="24"/>
                <w:szCs w:val="24"/>
              </w:rPr>
            </w:pPr>
            <w:r>
              <w:rPr>
                <w:rFonts w:hint="eastAsia" w:ascii="宋体" w:hAnsi="宋体" w:eastAsia="宋体" w:cs="宋体"/>
                <w:sz w:val="24"/>
                <w:szCs w:val="24"/>
              </w:rPr>
              <w:t>不补偿</w:t>
            </w:r>
          </w:p>
        </w:tc>
      </w:tr>
      <w:tr>
        <w:tblPrEx>
          <w:tblCellMar>
            <w:top w:w="0" w:type="dxa"/>
            <w:left w:w="108" w:type="dxa"/>
            <w:bottom w:w="0" w:type="dxa"/>
            <w:right w:w="108" w:type="dxa"/>
          </w:tblCellMar>
        </w:tblPrEx>
        <w:trPr>
          <w:trHeight w:val="2600" w:hRule="atLeast"/>
        </w:trPr>
        <w:tc>
          <w:tcPr>
            <w:tcW w:w="10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7.8.1</w:t>
            </w:r>
          </w:p>
        </w:tc>
        <w:tc>
          <w:tcPr>
            <w:tcW w:w="28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履约保证金</w:t>
            </w:r>
          </w:p>
        </w:tc>
        <w:tc>
          <w:tcPr>
            <w:tcW w:w="520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 xml:space="preserve">履约担保金额：5%签约合同价； </w:t>
            </w:r>
          </w:p>
          <w:p>
            <w:pPr>
              <w:spacing w:line="400" w:lineRule="exact"/>
              <w:rPr>
                <w:rFonts w:hint="eastAsia" w:ascii="宋体" w:hAnsi="宋体" w:eastAsia="宋体" w:cs="宋体"/>
                <w:sz w:val="24"/>
                <w:szCs w:val="24"/>
              </w:rPr>
            </w:pPr>
            <w:r>
              <w:rPr>
                <w:rFonts w:hint="eastAsia" w:ascii="宋体" w:hAnsi="宋体" w:eastAsia="宋体" w:cs="宋体"/>
                <w:sz w:val="24"/>
                <w:szCs w:val="24"/>
              </w:rPr>
              <w:t>履约担保形式：银行保函或现金；</w:t>
            </w:r>
          </w:p>
          <w:p>
            <w:pPr>
              <w:spacing w:line="400" w:lineRule="exact"/>
              <w:rPr>
                <w:rFonts w:hint="eastAsia" w:ascii="宋体" w:hAnsi="宋体" w:eastAsia="宋体" w:cs="宋体"/>
                <w:sz w:val="24"/>
                <w:szCs w:val="24"/>
              </w:rPr>
            </w:pPr>
            <w:r>
              <w:rPr>
                <w:rFonts w:hint="eastAsia" w:ascii="宋体" w:hAnsi="宋体" w:eastAsia="宋体" w:cs="宋体"/>
                <w:sz w:val="24"/>
                <w:szCs w:val="24"/>
              </w:rPr>
              <w:t>采用银行保函时，出具履约担保的银行级别：国有商业银行或股份制商业银行的支行及其以上银行 。采用现金时以中标人单位基本账户汇入招标人账户。</w:t>
            </w:r>
          </w:p>
        </w:tc>
      </w:tr>
      <w:tr>
        <w:tblPrEx>
          <w:tblCellMar>
            <w:top w:w="0" w:type="dxa"/>
            <w:left w:w="108" w:type="dxa"/>
            <w:bottom w:w="0" w:type="dxa"/>
            <w:right w:w="108" w:type="dxa"/>
          </w:tblCellMar>
        </w:tblPrEx>
        <w:trPr>
          <w:trHeight w:val="1310" w:hRule="atLeast"/>
        </w:trPr>
        <w:tc>
          <w:tcPr>
            <w:tcW w:w="10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br w:type="page"/>
            </w:r>
            <w:r>
              <w:rPr>
                <w:rFonts w:hint="eastAsia" w:ascii="宋体" w:hAnsi="宋体" w:eastAsia="宋体" w:cs="宋体"/>
                <w:sz w:val="24"/>
                <w:szCs w:val="24"/>
              </w:rPr>
              <w:t>8.5.1</w:t>
            </w:r>
          </w:p>
        </w:tc>
        <w:tc>
          <w:tcPr>
            <w:tcW w:w="28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监督部门</w:t>
            </w:r>
          </w:p>
        </w:tc>
        <w:tc>
          <w:tcPr>
            <w:tcW w:w="520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安康市交通运输局</w:t>
            </w:r>
          </w:p>
          <w:p>
            <w:pPr>
              <w:spacing w:line="400" w:lineRule="exact"/>
              <w:rPr>
                <w:rFonts w:hint="eastAsia" w:ascii="宋体" w:hAnsi="宋体" w:eastAsia="宋体" w:cs="宋体"/>
                <w:sz w:val="24"/>
                <w:szCs w:val="24"/>
              </w:rPr>
            </w:pPr>
            <w:r>
              <w:rPr>
                <w:rFonts w:hint="eastAsia" w:ascii="宋体" w:hAnsi="宋体" w:eastAsia="宋体" w:cs="宋体"/>
                <w:sz w:val="24"/>
                <w:szCs w:val="24"/>
              </w:rPr>
              <w:t>地   址：安康市高新区安康大道28号</w:t>
            </w:r>
          </w:p>
          <w:p>
            <w:pPr>
              <w:spacing w:line="400" w:lineRule="exact"/>
              <w:rPr>
                <w:rFonts w:hint="eastAsia" w:ascii="宋体" w:hAnsi="宋体" w:eastAsia="宋体" w:cs="宋体"/>
                <w:sz w:val="24"/>
                <w:szCs w:val="24"/>
                <w:u w:val="single"/>
              </w:rPr>
            </w:pPr>
            <w:r>
              <w:rPr>
                <w:rFonts w:hint="eastAsia" w:ascii="宋体" w:hAnsi="宋体" w:eastAsia="宋体" w:cs="宋体"/>
                <w:sz w:val="24"/>
                <w:szCs w:val="24"/>
              </w:rPr>
              <w:t>电   话：0915-3200279</w:t>
            </w:r>
          </w:p>
        </w:tc>
      </w:tr>
      <w:tr>
        <w:tblPrEx>
          <w:tblCellMar>
            <w:top w:w="0" w:type="dxa"/>
            <w:left w:w="108" w:type="dxa"/>
            <w:bottom w:w="0" w:type="dxa"/>
            <w:right w:w="108" w:type="dxa"/>
          </w:tblCellMar>
        </w:tblPrEx>
        <w:trPr>
          <w:trHeight w:val="625" w:hRule="atLeast"/>
        </w:trPr>
        <w:tc>
          <w:tcPr>
            <w:tcW w:w="10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9</w:t>
            </w:r>
          </w:p>
        </w:tc>
        <w:tc>
          <w:tcPr>
            <w:tcW w:w="28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是否采用电子招标投标</w:t>
            </w:r>
          </w:p>
        </w:tc>
        <w:tc>
          <w:tcPr>
            <w:tcW w:w="520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否</w:t>
            </w:r>
          </w:p>
        </w:tc>
      </w:tr>
      <w:tr>
        <w:tblPrEx>
          <w:tblCellMar>
            <w:top w:w="0" w:type="dxa"/>
            <w:left w:w="108" w:type="dxa"/>
            <w:bottom w:w="0" w:type="dxa"/>
            <w:right w:w="108" w:type="dxa"/>
          </w:tblCellMar>
        </w:tblPrEx>
        <w:trPr>
          <w:trHeight w:val="423" w:hRule="atLeast"/>
        </w:trPr>
        <w:tc>
          <w:tcPr>
            <w:tcW w:w="9094" w:type="dxa"/>
            <w:gridSpan w:val="3"/>
            <w:tcBorders>
              <w:top w:val="single" w:color="auto" w:sz="4" w:space="0"/>
              <w:left w:val="single" w:color="auto" w:sz="4" w:space="0"/>
              <w:bottom w:val="single" w:color="auto" w:sz="4" w:space="0"/>
              <w:right w:val="single" w:color="auto" w:sz="4" w:space="0"/>
            </w:tcBorders>
            <w:vAlign w:val="center"/>
          </w:tcPr>
          <w:p>
            <w:pPr>
              <w:bidi w:val="0"/>
              <w:jc w:val="center"/>
              <w:rPr>
                <w:rFonts w:hint="eastAsia" w:ascii="宋体" w:hAnsi="宋体" w:eastAsia="宋体" w:cs="宋体"/>
                <w:sz w:val="24"/>
                <w:szCs w:val="24"/>
                <w:lang w:val="en-US" w:eastAsia="zh-CN"/>
              </w:rPr>
            </w:pPr>
            <w:r>
              <w:rPr>
                <w:rFonts w:hint="eastAsia" w:ascii="宋体" w:hAnsi="宋体" w:eastAsia="宋体" w:cs="宋体"/>
                <w:bCs/>
                <w:color w:val="auto"/>
                <w:sz w:val="24"/>
                <w:szCs w:val="24"/>
                <w:highlight w:val="none"/>
              </w:rPr>
              <w:t>需要补充的其他内容</w:t>
            </w:r>
          </w:p>
        </w:tc>
      </w:tr>
      <w:tr>
        <w:tblPrEx>
          <w:tblCellMar>
            <w:top w:w="0" w:type="dxa"/>
            <w:left w:w="108" w:type="dxa"/>
            <w:bottom w:w="0" w:type="dxa"/>
            <w:right w:w="108" w:type="dxa"/>
          </w:tblCellMar>
        </w:tblPrEx>
        <w:tc>
          <w:tcPr>
            <w:tcW w:w="10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color w:val="auto"/>
                <w:sz w:val="24"/>
                <w:szCs w:val="24"/>
                <w:highlight w:val="none"/>
              </w:rPr>
              <w:t>3.2</w:t>
            </w:r>
          </w:p>
        </w:tc>
        <w:tc>
          <w:tcPr>
            <w:tcW w:w="808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 投标报价</w:t>
            </w:r>
          </w:p>
          <w:p>
            <w:pPr>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本款补充第3.2.4项：</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color w:val="auto"/>
                <w:sz w:val="24"/>
                <w:szCs w:val="24"/>
                <w:highlight w:val="none"/>
              </w:rPr>
              <w:t>3.2.4投标价应包括投标人完成本招标项目招标公告中明确的勘察设计所有工作量和提供全套勘察设计文件及后续服务的全部费用，具体工作内容详见本项目招标范围。</w:t>
            </w:r>
          </w:p>
        </w:tc>
      </w:tr>
      <w:tr>
        <w:tblPrEx>
          <w:tblCellMar>
            <w:top w:w="0" w:type="dxa"/>
            <w:left w:w="108" w:type="dxa"/>
            <w:bottom w:w="0" w:type="dxa"/>
            <w:right w:w="108" w:type="dxa"/>
          </w:tblCellMar>
        </w:tblPrEx>
        <w:tc>
          <w:tcPr>
            <w:tcW w:w="10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4"/>
                <w:szCs w:val="24"/>
              </w:rPr>
            </w:pPr>
            <w:r>
              <w:rPr>
                <w:rFonts w:hint="eastAsia" w:ascii="宋体" w:hAnsi="宋体" w:eastAsia="宋体" w:cs="宋体"/>
                <w:color w:val="auto"/>
                <w:sz w:val="24"/>
                <w:szCs w:val="24"/>
                <w:highlight w:val="none"/>
              </w:rPr>
              <w:t>7.</w:t>
            </w:r>
            <w:r>
              <w:rPr>
                <w:rFonts w:hint="eastAsia" w:ascii="宋体" w:hAnsi="宋体" w:eastAsia="宋体" w:cs="宋体"/>
                <w:color w:val="auto"/>
                <w:sz w:val="24"/>
                <w:szCs w:val="24"/>
                <w:highlight w:val="none"/>
                <w:lang w:val="en-US" w:eastAsia="zh-CN"/>
              </w:rPr>
              <w:t>9</w:t>
            </w:r>
          </w:p>
        </w:tc>
        <w:tc>
          <w:tcPr>
            <w:tcW w:w="808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 xml:space="preserve"> 签订合同</w:t>
            </w:r>
          </w:p>
          <w:p>
            <w:pPr>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第7.</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.1项细化为：</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color w:val="auto"/>
                <w:sz w:val="24"/>
                <w:szCs w:val="24"/>
                <w:highlight w:val="none"/>
              </w:rPr>
              <w:t>7.</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.1 招标人和中标人应当自中标通知书发出之日起30天内，根据招标文件和中标人的投标文件订立书面合同。中标人无正当理由拒签合同的，或在签订合同时向招标人提出附加条件，招标人取消其中标资格，其投标保证金不予退还，并由招标人将其行为上报省级交通运输主管部门，作为不良记录纳入公路建设市场信用信息管理系统。</w:t>
            </w:r>
          </w:p>
        </w:tc>
      </w:tr>
    </w:tbl>
    <w:p>
      <w:pPr>
        <w:adjustRightInd w:val="0"/>
        <w:snapToGrid w:val="0"/>
        <w:spacing w:line="300" w:lineRule="auto"/>
        <w:ind w:right="-781" w:rightChars="-244"/>
        <w:jc w:val="center"/>
        <w:rPr>
          <w:rFonts w:hint="eastAsia" w:ascii="新宋体" w:hAnsi="新宋体" w:eastAsia="新宋体" w:cs="新宋体"/>
          <w:b/>
          <w:bCs/>
          <w:sz w:val="28"/>
          <w:szCs w:val="28"/>
        </w:rPr>
      </w:pPr>
    </w:p>
    <w:p>
      <w:pPr>
        <w:adjustRightInd w:val="0"/>
        <w:snapToGrid w:val="0"/>
        <w:spacing w:line="300" w:lineRule="auto"/>
        <w:ind w:right="-781" w:rightChars="-244"/>
        <w:jc w:val="center"/>
        <w:rPr>
          <w:rFonts w:ascii="新宋体" w:hAnsi="新宋体" w:eastAsia="新宋体" w:cs="新宋体"/>
          <w:b/>
          <w:bCs/>
          <w:sz w:val="28"/>
          <w:szCs w:val="28"/>
        </w:rPr>
      </w:pPr>
      <w:bookmarkStart w:id="36" w:name="_Toc31980_WPSOffice_Level2"/>
      <w:bookmarkStart w:id="37" w:name="_Toc14588_WPSOffice_Level2"/>
      <w:bookmarkStart w:id="38" w:name="_Toc21701"/>
      <w:bookmarkStart w:id="39" w:name="_Toc30623_WPSOffice_Level2"/>
      <w:bookmarkStart w:id="40" w:name="_Toc509993817"/>
      <w:bookmarkStart w:id="41" w:name="_Toc234832870"/>
      <w:r>
        <w:rPr>
          <w:rFonts w:hint="eastAsia" w:ascii="新宋体" w:hAnsi="新宋体" w:eastAsia="新宋体" w:cs="新宋体"/>
          <w:b/>
          <w:bCs/>
          <w:sz w:val="28"/>
          <w:szCs w:val="28"/>
        </w:rPr>
        <w:t>投标人须知正文</w:t>
      </w:r>
      <w:bookmarkEnd w:id="36"/>
      <w:bookmarkEnd w:id="37"/>
      <w:bookmarkEnd w:id="38"/>
      <w:bookmarkEnd w:id="39"/>
    </w:p>
    <w:p>
      <w:pPr>
        <w:pStyle w:val="3"/>
        <w:spacing w:before="10" w:after="0" w:line="400" w:lineRule="exact"/>
        <w:rPr>
          <w:rFonts w:ascii="新宋体" w:hAnsi="新宋体" w:eastAsia="新宋体" w:cs="新宋体"/>
          <w:b w:val="0"/>
          <w:sz w:val="24"/>
          <w:szCs w:val="24"/>
        </w:rPr>
      </w:pPr>
      <w:bookmarkStart w:id="42" w:name="_Toc12354"/>
      <w:bookmarkStart w:id="43" w:name="_Toc1471_WPSOffice_Level2"/>
      <w:bookmarkStart w:id="44" w:name="_Toc14905_WPSOffice_Level2"/>
      <w:bookmarkStart w:id="45" w:name="_Toc32504_WPSOffice_Level2"/>
      <w:r>
        <w:rPr>
          <w:rFonts w:hint="eastAsia" w:ascii="新宋体" w:hAnsi="新宋体" w:eastAsia="新宋体" w:cs="新宋体"/>
          <w:b w:val="0"/>
          <w:sz w:val="24"/>
          <w:szCs w:val="24"/>
        </w:rPr>
        <w:t>1. 总则</w:t>
      </w:r>
      <w:bookmarkEnd w:id="40"/>
      <w:bookmarkEnd w:id="41"/>
      <w:bookmarkEnd w:id="42"/>
      <w:bookmarkEnd w:id="43"/>
      <w:bookmarkEnd w:id="44"/>
      <w:bookmarkEnd w:id="45"/>
    </w:p>
    <w:p>
      <w:pPr>
        <w:pStyle w:val="3"/>
        <w:spacing w:before="10" w:after="0" w:line="400" w:lineRule="exact"/>
        <w:rPr>
          <w:rFonts w:ascii="新宋体" w:hAnsi="新宋体" w:eastAsia="新宋体" w:cs="新宋体"/>
          <w:b w:val="0"/>
          <w:sz w:val="24"/>
          <w:szCs w:val="24"/>
        </w:rPr>
      </w:pPr>
      <w:bookmarkStart w:id="46" w:name="_Toc234832871"/>
      <w:bookmarkStart w:id="47" w:name="_Toc13642"/>
      <w:bookmarkStart w:id="48" w:name="_Toc509993818"/>
      <w:r>
        <w:rPr>
          <w:rFonts w:hint="eastAsia" w:ascii="新宋体" w:hAnsi="新宋体" w:eastAsia="新宋体" w:cs="新宋体"/>
          <w:b w:val="0"/>
          <w:sz w:val="24"/>
          <w:szCs w:val="24"/>
        </w:rPr>
        <w:t>1.1 项目概况</w:t>
      </w:r>
      <w:bookmarkEnd w:id="46"/>
      <w:bookmarkEnd w:id="47"/>
      <w:bookmarkEnd w:id="48"/>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1.1.1 根据《中华人民共和国招标投标法》《中华人民共和国招标投标法实施条例》《公路工程建设项目招标投标管理办法》等有关法律、法规和规章的规定，本招标项目已具备招标条件，现对本标段勘察设计进行招标。</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1.1.2 本招标项目招标人：见投标人须知前附表。</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1.1.3 本标段招标代理机构：见投标人须知前附表。</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1.1.4 本招标项目名称：见投标人须知前附表。</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1.1.5 本标段建设地点：见投标人须知前附表。</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1.1.6 本标段建设规模：见投标人须知前附表。</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1.1.7 本标段投资估算：见投标人须知前附表。</w:t>
      </w:r>
    </w:p>
    <w:p>
      <w:pPr>
        <w:pStyle w:val="3"/>
        <w:spacing w:before="10" w:after="0" w:line="400" w:lineRule="exact"/>
        <w:rPr>
          <w:rFonts w:ascii="新宋体" w:hAnsi="新宋体" w:eastAsia="新宋体" w:cs="新宋体"/>
          <w:b w:val="0"/>
          <w:sz w:val="24"/>
          <w:szCs w:val="24"/>
        </w:rPr>
      </w:pPr>
      <w:bookmarkStart w:id="49" w:name="_Toc509993819"/>
      <w:bookmarkStart w:id="50" w:name="_Toc234832872"/>
      <w:bookmarkStart w:id="51" w:name="_Toc32489"/>
      <w:r>
        <w:rPr>
          <w:rFonts w:hint="eastAsia" w:ascii="新宋体" w:hAnsi="新宋体" w:eastAsia="新宋体" w:cs="新宋体"/>
          <w:b w:val="0"/>
          <w:sz w:val="24"/>
          <w:szCs w:val="24"/>
        </w:rPr>
        <w:t>1.2 招标项目的资金来源和落实情况</w:t>
      </w:r>
      <w:bookmarkEnd w:id="49"/>
      <w:bookmarkEnd w:id="50"/>
      <w:bookmarkEnd w:id="51"/>
      <w:r>
        <w:rPr>
          <w:rFonts w:hint="eastAsia" w:ascii="新宋体" w:hAnsi="新宋体" w:eastAsia="新宋体" w:cs="新宋体"/>
          <w:b w:val="0"/>
          <w:sz w:val="24"/>
          <w:szCs w:val="24"/>
        </w:rPr>
        <w:t xml:space="preserve"> </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1.2.1 资金来源及比例：见投标人须知前附表。</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1.2.2 资金落实情况：见投标人须知前附表。</w:t>
      </w:r>
    </w:p>
    <w:p>
      <w:pPr>
        <w:pStyle w:val="3"/>
        <w:spacing w:before="10" w:after="0" w:line="400" w:lineRule="exact"/>
        <w:rPr>
          <w:rFonts w:ascii="新宋体" w:hAnsi="新宋体" w:eastAsia="新宋体" w:cs="新宋体"/>
          <w:b w:val="0"/>
          <w:sz w:val="24"/>
          <w:szCs w:val="24"/>
        </w:rPr>
      </w:pPr>
      <w:bookmarkStart w:id="52" w:name="_Toc234832873"/>
      <w:bookmarkStart w:id="53" w:name="_Toc31322"/>
      <w:bookmarkStart w:id="54" w:name="_Toc509993820"/>
      <w:r>
        <w:rPr>
          <w:rFonts w:hint="eastAsia" w:ascii="新宋体" w:hAnsi="新宋体" w:eastAsia="新宋体" w:cs="新宋体"/>
          <w:b w:val="0"/>
          <w:sz w:val="24"/>
          <w:szCs w:val="24"/>
        </w:rPr>
        <w:t>1.3 招标范围、勘察设计服务期限、质量要求和安全目标</w:t>
      </w:r>
      <w:bookmarkEnd w:id="52"/>
      <w:bookmarkEnd w:id="53"/>
      <w:bookmarkEnd w:id="54"/>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1.3.1 招标范围：见投标人须知前附表。</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1.3.2 本标段的勘察设计服务期限：见投标人须知前附表。</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1.3.3 本标段的质量要求：见投标人须知前附表。</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1.3.4 本标段的安全目标：见投标人须知前附表。</w:t>
      </w:r>
    </w:p>
    <w:p>
      <w:pPr>
        <w:pStyle w:val="3"/>
        <w:spacing w:before="10" w:after="0" w:line="400" w:lineRule="exact"/>
        <w:rPr>
          <w:rFonts w:ascii="新宋体" w:hAnsi="新宋体" w:eastAsia="新宋体" w:cs="新宋体"/>
          <w:b w:val="0"/>
          <w:sz w:val="24"/>
          <w:szCs w:val="24"/>
        </w:rPr>
      </w:pPr>
      <w:bookmarkStart w:id="55" w:name="_Toc6091"/>
      <w:bookmarkStart w:id="56" w:name="_Toc509993821"/>
      <w:bookmarkStart w:id="57" w:name="_Toc234832874"/>
      <w:r>
        <w:rPr>
          <w:rFonts w:hint="eastAsia" w:ascii="新宋体" w:hAnsi="新宋体" w:eastAsia="新宋体" w:cs="新宋体"/>
          <w:b w:val="0"/>
          <w:sz w:val="24"/>
          <w:szCs w:val="24"/>
        </w:rPr>
        <w:t>1.4 投标人资格要求（适用于已进行资格预审的）</w:t>
      </w:r>
      <w:bookmarkEnd w:id="55"/>
      <w:bookmarkEnd w:id="56"/>
      <w:bookmarkEnd w:id="57"/>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投标人应是收到招标人发出投标邀请书的单位。</w:t>
      </w:r>
    </w:p>
    <w:p>
      <w:pPr>
        <w:pStyle w:val="3"/>
        <w:spacing w:before="10" w:after="0" w:line="400" w:lineRule="exact"/>
        <w:rPr>
          <w:rFonts w:ascii="新宋体" w:hAnsi="新宋体" w:eastAsia="新宋体" w:cs="新宋体"/>
          <w:b w:val="0"/>
          <w:sz w:val="24"/>
          <w:szCs w:val="24"/>
        </w:rPr>
      </w:pPr>
      <w:bookmarkStart w:id="58" w:name="_Toc234832875"/>
      <w:bookmarkStart w:id="59" w:name="_Toc1562"/>
      <w:bookmarkStart w:id="60" w:name="_Toc509993822"/>
      <w:r>
        <w:rPr>
          <w:rFonts w:hint="eastAsia" w:ascii="新宋体" w:hAnsi="新宋体" w:eastAsia="新宋体" w:cs="新宋体"/>
          <w:b w:val="0"/>
          <w:sz w:val="24"/>
          <w:szCs w:val="24"/>
        </w:rPr>
        <w:t>1.4 投标人资格要求（适用于未进行资格预审的）</w:t>
      </w:r>
      <w:bookmarkEnd w:id="58"/>
      <w:bookmarkEnd w:id="59"/>
      <w:bookmarkEnd w:id="60"/>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1.4.1 投标人应具备承担本标段勘察设计的资质条件、能力和信誉。</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 xml:space="preserve">（1）资质要求：见投标人须知前附表； </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（2）业绩要求：见投标人须知前附表；</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（3）信誉要求：见投标人须知前附表；</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（4）项目负责人资格：见投标人须知前附表；</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（5）其他要求：见投标人须知前附表。</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需要提交的相关证明材料见本章正文第3.5款的规定。</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 xml:space="preserve">1.4.2 投标人须知前附表规定接受联合体投标的，联合体除应符合本章第1.4.1项和投标人须知前附表的要求外，还应遵守以下规定： </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（1）联合体各方应按招标文件提供的格式签订联合体协议书，明确联合体牵头人和各方权利义务，并承诺就中标项目向招标人承担连带责任；</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（2）由同一专业的单位组成的联合体，按照资质等级较低的单位确定资质等级；</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（3）联合体各方不得再以自己名义单独或参加其他联合体在同一标段中投标；</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4）联合体各方应分别按照本招标文件的要求，填写投标文件中的相应表格，并由联合体牵头人负责对联合体各成员的资料进行统一汇总后一并提交给招标人；联合体牵头人所提交的投标文件应认为已代表了联合体各成员的真实情况；</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（5）尽管委任了联合体牵头人，但联合体各成员在投标、签订合同与履行合同过程中，仍负有连带的和各自的法律责任。</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1.4.3 投标人（包括联合体各成员）不得与本标段相关单位存在下列关联情形：</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（1）为招标人不具有独立法人资格的附属机构（单位）；</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（2）与招标人存在利害关系且可能影响招标公正性；</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（3）与本标段的其他投标人同为一个单位负责人；</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（4）与本标段的其他投标人存在控股、管理关系；</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 xml:space="preserve">（5）为本标段的代建人； </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（6）为本标段的招标代理机构；</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（7）与本标段的代建人或招标代理机构同为一个法定代表人；</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（8）与本标段的代建人或招标代理机构存在控股或参股关系；</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（9）法律法规或投标人须知前附表规定的其他情形。</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1.4.4 投标人（包括联合体各成员）不得存在下列不良状况或不良信用记录：</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（1）被省级及以上交通运输主管部门取消招标项目所在地的投标资格且处于有效期内；</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（2）被责令停业，暂扣或吊销执照，或吊销资质证书；</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（3）进入清算程序，或被宣告破产，或其他丧失履约能力的情形；</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（4）在国家企业信用信息公示系统（http://www.gsxt.gov.cn/）中被列入严重违法失信企业名单；</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（5）在“信用中国”网站（http://www.creditchina.gov.cn/）中被列入失信被执行人名单；</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（6）投标人或其法定代表人、拟委任的项目负责人在近三年内有行贿犯罪行为的（行贿犯罪行为的认定以检察机关职务犯罪预防部门出具的查询结果为准）；</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（7）法律法规或投标人须知前附表规定的其他情形。</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1.4.5 投标人（包括联合体各成员）应进入交通运输部“全国公路建设市场信用信息管理系统（http：//glxy.mot.gov.cn）”中的公路工程设计资质企业名录，且投标人名称和资质与该名录中的相应企业名称和资质完全一致。投标人不满足本项规定条件的，将被否决投标。</w:t>
      </w:r>
      <w:r>
        <w:rPr>
          <w:rFonts w:hint="eastAsia" w:ascii="新宋体" w:hAnsi="新宋体" w:eastAsia="新宋体" w:cs="新宋体"/>
          <w:sz w:val="24"/>
          <w:vertAlign w:val="superscript"/>
        </w:rPr>
        <w:footnoteReference w:id="0"/>
      </w:r>
    </w:p>
    <w:p>
      <w:pPr>
        <w:pStyle w:val="3"/>
        <w:spacing w:before="10" w:after="0" w:line="400" w:lineRule="exact"/>
        <w:rPr>
          <w:rFonts w:ascii="新宋体" w:hAnsi="新宋体" w:eastAsia="新宋体" w:cs="新宋体"/>
          <w:b w:val="0"/>
          <w:sz w:val="24"/>
          <w:szCs w:val="24"/>
        </w:rPr>
      </w:pPr>
      <w:r>
        <w:rPr>
          <w:rFonts w:hint="eastAsia" w:ascii="新宋体" w:hAnsi="新宋体" w:eastAsia="新宋体" w:cs="新宋体"/>
          <w:sz w:val="24"/>
          <w:szCs w:val="24"/>
        </w:rPr>
        <w:t xml:space="preserve"> </w:t>
      </w:r>
      <w:bookmarkStart w:id="61" w:name="_Toc234832876"/>
      <w:bookmarkStart w:id="62" w:name="_Toc509993823"/>
      <w:bookmarkStart w:id="63" w:name="_Toc17783"/>
      <w:r>
        <w:rPr>
          <w:rFonts w:hint="eastAsia" w:ascii="新宋体" w:hAnsi="新宋体" w:eastAsia="新宋体" w:cs="新宋体"/>
          <w:b w:val="0"/>
          <w:sz w:val="24"/>
          <w:szCs w:val="24"/>
        </w:rPr>
        <w:t>1.5 费用承担</w:t>
      </w:r>
      <w:bookmarkEnd w:id="61"/>
      <w:bookmarkEnd w:id="62"/>
      <w:bookmarkEnd w:id="63"/>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投标人准备和参加投标活动发生的费用自理。</w:t>
      </w:r>
    </w:p>
    <w:p>
      <w:pPr>
        <w:pStyle w:val="3"/>
        <w:spacing w:before="10" w:after="0" w:line="400" w:lineRule="exact"/>
        <w:rPr>
          <w:rFonts w:ascii="新宋体" w:hAnsi="新宋体" w:eastAsia="新宋体" w:cs="新宋体"/>
          <w:b w:val="0"/>
          <w:sz w:val="24"/>
          <w:szCs w:val="24"/>
        </w:rPr>
      </w:pPr>
      <w:bookmarkStart w:id="64" w:name="_Toc509993824"/>
      <w:bookmarkStart w:id="65" w:name="_Toc234832877"/>
      <w:bookmarkStart w:id="66" w:name="_Toc3570"/>
      <w:r>
        <w:rPr>
          <w:rFonts w:hint="eastAsia" w:ascii="新宋体" w:hAnsi="新宋体" w:eastAsia="新宋体" w:cs="新宋体"/>
          <w:b w:val="0"/>
          <w:sz w:val="24"/>
          <w:szCs w:val="24"/>
        </w:rPr>
        <w:t>1.6 保密</w:t>
      </w:r>
      <w:bookmarkEnd w:id="64"/>
      <w:bookmarkEnd w:id="65"/>
      <w:bookmarkEnd w:id="66"/>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参与招标投标活动的各方应对招标文件和投标文件中的商业和技术等秘密保密，否则应承担相应的法律责任。</w:t>
      </w:r>
    </w:p>
    <w:p>
      <w:pPr>
        <w:pStyle w:val="3"/>
        <w:spacing w:before="10" w:after="0" w:line="400" w:lineRule="exact"/>
        <w:rPr>
          <w:rFonts w:ascii="新宋体" w:hAnsi="新宋体" w:eastAsia="新宋体" w:cs="新宋体"/>
          <w:b w:val="0"/>
          <w:sz w:val="24"/>
          <w:szCs w:val="24"/>
        </w:rPr>
      </w:pPr>
      <w:bookmarkStart w:id="67" w:name="_Toc509993825"/>
      <w:bookmarkStart w:id="68" w:name="_Toc234832878"/>
      <w:bookmarkStart w:id="69" w:name="_Toc28799"/>
      <w:r>
        <w:rPr>
          <w:rFonts w:hint="eastAsia" w:ascii="新宋体" w:hAnsi="新宋体" w:eastAsia="新宋体" w:cs="新宋体"/>
          <w:b w:val="0"/>
          <w:sz w:val="24"/>
          <w:szCs w:val="24"/>
        </w:rPr>
        <w:t>1.7 语言文字</w:t>
      </w:r>
      <w:bookmarkEnd w:id="67"/>
      <w:bookmarkEnd w:id="68"/>
      <w:bookmarkEnd w:id="69"/>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招标投标文件使用的语言文字为中文。专用术语使用外文的，应附有中文注释。</w:t>
      </w:r>
    </w:p>
    <w:p>
      <w:pPr>
        <w:pStyle w:val="3"/>
        <w:spacing w:before="10" w:after="0" w:line="400" w:lineRule="exact"/>
        <w:rPr>
          <w:rFonts w:ascii="新宋体" w:hAnsi="新宋体" w:eastAsia="新宋体" w:cs="新宋体"/>
          <w:b w:val="0"/>
          <w:sz w:val="24"/>
          <w:szCs w:val="24"/>
        </w:rPr>
      </w:pPr>
      <w:bookmarkStart w:id="70" w:name="_Toc26059"/>
      <w:bookmarkStart w:id="71" w:name="_Toc234832879"/>
      <w:bookmarkStart w:id="72" w:name="_Toc509993826"/>
      <w:r>
        <w:rPr>
          <w:rFonts w:hint="eastAsia" w:ascii="新宋体" w:hAnsi="新宋体" w:eastAsia="新宋体" w:cs="新宋体"/>
          <w:b w:val="0"/>
          <w:sz w:val="24"/>
          <w:szCs w:val="24"/>
        </w:rPr>
        <w:t>1.8 计量单位</w:t>
      </w:r>
      <w:bookmarkEnd w:id="70"/>
      <w:bookmarkEnd w:id="71"/>
      <w:bookmarkEnd w:id="72"/>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所有计量均采用中华人民共和国法定计量单位。</w:t>
      </w:r>
    </w:p>
    <w:p>
      <w:pPr>
        <w:pStyle w:val="3"/>
        <w:spacing w:before="10" w:after="0" w:line="400" w:lineRule="exact"/>
        <w:rPr>
          <w:rFonts w:ascii="新宋体" w:hAnsi="新宋体" w:eastAsia="新宋体" w:cs="新宋体"/>
          <w:b w:val="0"/>
          <w:sz w:val="24"/>
          <w:szCs w:val="24"/>
        </w:rPr>
      </w:pPr>
      <w:bookmarkStart w:id="73" w:name="_Toc509993827"/>
      <w:bookmarkStart w:id="74" w:name="_Toc31811"/>
      <w:bookmarkStart w:id="75" w:name="_Toc234832880"/>
      <w:r>
        <w:rPr>
          <w:rFonts w:hint="eastAsia" w:ascii="新宋体" w:hAnsi="新宋体" w:eastAsia="新宋体" w:cs="新宋体"/>
          <w:b w:val="0"/>
          <w:sz w:val="24"/>
          <w:szCs w:val="24"/>
        </w:rPr>
        <w:t>1.9 踏勘现场</w:t>
      </w:r>
      <w:bookmarkEnd w:id="73"/>
      <w:bookmarkEnd w:id="74"/>
      <w:bookmarkEnd w:id="75"/>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1.9.1 第一章“招标公告”或“投标邀请书”规定组织踏勘现场的，招标人按规定的时间、地点组织投标人踏勘项目现场。部分投标人未按时参加踏勘现场的，不影响踏勘现场的正常进行。招标人不得组织单个或部分投标人踏勘项目现场。</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1.9.2 投标人踏勘现场发生的费用自理。</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1.9.3 除招标人的原因外，投标人自行负责在踏勘现场中所发生的人员伤亡和财产损失。</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1.9.4 招标人在踏勘现场中介绍的工程场地和相关的周边环境情况，供投标人在编制投标文件时参考，招标人不对投标人据此作出的判断和决策负责。</w:t>
      </w:r>
    </w:p>
    <w:p>
      <w:pPr>
        <w:pStyle w:val="3"/>
        <w:spacing w:before="10" w:after="0" w:line="400" w:lineRule="exact"/>
        <w:rPr>
          <w:rFonts w:ascii="新宋体" w:hAnsi="新宋体" w:eastAsia="新宋体" w:cs="新宋体"/>
          <w:b w:val="0"/>
          <w:sz w:val="24"/>
          <w:szCs w:val="24"/>
        </w:rPr>
      </w:pPr>
      <w:bookmarkStart w:id="76" w:name="_Toc509993828"/>
      <w:bookmarkStart w:id="77" w:name="_Toc234832881"/>
      <w:bookmarkStart w:id="78" w:name="_Toc11832"/>
      <w:r>
        <w:rPr>
          <w:rFonts w:hint="eastAsia" w:ascii="新宋体" w:hAnsi="新宋体" w:eastAsia="新宋体" w:cs="新宋体"/>
          <w:b w:val="0"/>
          <w:sz w:val="24"/>
          <w:szCs w:val="24"/>
        </w:rPr>
        <w:t>1.10 投标预备会</w:t>
      </w:r>
      <w:bookmarkEnd w:id="76"/>
      <w:bookmarkEnd w:id="77"/>
      <w:bookmarkEnd w:id="78"/>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1.10.1 第一章“招标公告”或“投标邀请书”规定召开投标预备会的，招标人按规定的时间和地点召开投标预备会，澄清投标人提出的问题。</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1.10.2 投标人应按投标人须知前附表规定的时间和形式将提出的问题送达招标人，以便招标人在会议期间澄清。</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1.10.3 投标预备会后，招标人将对投标人所提问题的澄清，以本章第2.2款规定的形式通知所有购买招标文件的投标人。该澄清内容为招标文件的组成部分。</w:t>
      </w:r>
    </w:p>
    <w:p>
      <w:pPr>
        <w:pStyle w:val="3"/>
        <w:spacing w:before="10" w:after="0" w:line="400" w:lineRule="exact"/>
        <w:rPr>
          <w:rFonts w:ascii="新宋体" w:hAnsi="新宋体" w:eastAsia="新宋体" w:cs="新宋体"/>
          <w:b w:val="0"/>
          <w:sz w:val="24"/>
          <w:szCs w:val="24"/>
        </w:rPr>
      </w:pPr>
      <w:bookmarkStart w:id="79" w:name="_Toc509993829"/>
      <w:bookmarkStart w:id="80" w:name="_Toc28397"/>
      <w:bookmarkStart w:id="81" w:name="_Toc234832882"/>
      <w:r>
        <w:rPr>
          <w:rFonts w:hint="eastAsia" w:ascii="新宋体" w:hAnsi="新宋体" w:eastAsia="新宋体" w:cs="新宋体"/>
          <w:b w:val="0"/>
          <w:sz w:val="24"/>
          <w:szCs w:val="24"/>
        </w:rPr>
        <w:t>1.11 分包</w:t>
      </w:r>
      <w:bookmarkEnd w:id="79"/>
      <w:bookmarkEnd w:id="80"/>
      <w:bookmarkEnd w:id="81"/>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1.11.1 投标人拟在中标后将中标项目的非主体、非关键性勘察设计工作进行分包的，应符合以下规定：</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（1）分包内容要求：允许分包的范围仅限于工程设计中跨专业或有特殊要求的勘察、设计工作。招标人允许分包或不允许分包的工程（如有）应在投标人须知前附表中载明。</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（2）接受分包的第三人资格要求：分包人的资格能力应与其分包工程的标准和规模相适应，且具备投标人须知前附表中规定的资格条件。</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（3）其他要求：投标人如有分包计划，应按第六章“投标文件格式”的要求填写“拟分包项目情况表”，明确拟分包的工程及规模，且投标人中标后的分包应满足合同条款第4.3款的相关要求。</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1.11.2 中标人不得向他人转让中标项目，接受分包的人不得再次分包。中标人应就分包项目向招标人负责，接受分包的人就分包项目承担连带责任。</w:t>
      </w:r>
    </w:p>
    <w:p>
      <w:pPr>
        <w:pStyle w:val="3"/>
        <w:spacing w:before="10" w:after="0" w:line="400" w:lineRule="exact"/>
        <w:rPr>
          <w:rFonts w:ascii="新宋体" w:hAnsi="新宋体" w:eastAsia="新宋体" w:cs="新宋体"/>
          <w:b w:val="0"/>
          <w:sz w:val="24"/>
          <w:szCs w:val="24"/>
        </w:rPr>
      </w:pPr>
      <w:bookmarkStart w:id="82" w:name="_Toc234832883"/>
      <w:bookmarkStart w:id="83" w:name="_Toc17660"/>
      <w:bookmarkStart w:id="84" w:name="_Toc509993830"/>
      <w:r>
        <w:rPr>
          <w:rFonts w:hint="eastAsia" w:ascii="新宋体" w:hAnsi="新宋体" w:eastAsia="新宋体" w:cs="新宋体"/>
          <w:b w:val="0"/>
          <w:sz w:val="24"/>
          <w:szCs w:val="24"/>
        </w:rPr>
        <w:t xml:space="preserve">1.12 </w:t>
      </w:r>
      <w:bookmarkEnd w:id="82"/>
      <w:r>
        <w:rPr>
          <w:rFonts w:hint="eastAsia" w:ascii="新宋体" w:hAnsi="新宋体" w:eastAsia="新宋体" w:cs="新宋体"/>
          <w:b w:val="0"/>
          <w:sz w:val="24"/>
          <w:szCs w:val="24"/>
        </w:rPr>
        <w:t>响应和偏差</w:t>
      </w:r>
      <w:bookmarkEnd w:id="83"/>
      <w:bookmarkEnd w:id="84"/>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1.12.1 投标文件偏离招标文件某些要求，视为投标文件存在偏差。偏差包括重大偏差和细微偏差。</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1.12.2 投标文件应对招标文件的实质性要求和条件作出满足性或更有利于招标人的响应，否则，视为投标文件存在重大偏差，投标人的投标将被否决。</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投标文件存在第三章“评标办法”中所列任一否决投标情形的，均属于存在重大偏差。</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1.12.3 投标文件中的下列偏差为细微偏差：</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（1）在按照第三章“评标办法”的规定对投标价进行算术性错误修正后，最终投标报价未超过最高投标限价（如有）的情况下，出现第三章“评标办法”规定的算术性错误；</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（2）技术建议书不够完善；</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（3）投标文件页码不连续、采用活页夹装订、个别文字有遗漏错误等不影响投标文件实质性内容的偏差。</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1.12.4 评标委员会对投标文件中的细微偏差按如下规定处理：</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（1）对于本章第1.12.3项（1）目所述的细微偏差，按照第三章“评标办法”的规定予以修正并要求投标人进行澄清；</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（2）对于本章第1.12.3项（2）、（3）目所述的细微偏差，可在相关评分因素的评分中酌情扣分。</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1.12.5 投标人应根据招标文件的要求提供技术建议书等内容以对招标文件作出响应。</w:t>
      </w:r>
    </w:p>
    <w:p>
      <w:pPr>
        <w:pStyle w:val="3"/>
        <w:spacing w:before="10" w:after="0" w:line="400" w:lineRule="exact"/>
        <w:rPr>
          <w:rFonts w:ascii="新宋体" w:hAnsi="新宋体" w:eastAsia="新宋体" w:cs="新宋体"/>
          <w:b w:val="0"/>
          <w:sz w:val="24"/>
          <w:szCs w:val="24"/>
        </w:rPr>
      </w:pPr>
      <w:bookmarkStart w:id="85" w:name="_Toc26231"/>
      <w:bookmarkStart w:id="86" w:name="_Toc9145_WPSOffice_Level2"/>
      <w:bookmarkStart w:id="87" w:name="_Toc509993831"/>
      <w:bookmarkStart w:id="88" w:name="_Toc4739_WPSOffice_Level2"/>
      <w:bookmarkStart w:id="89" w:name="_Toc234832884"/>
      <w:bookmarkStart w:id="90" w:name="_Toc6835_WPSOffice_Level2"/>
      <w:r>
        <w:rPr>
          <w:rFonts w:hint="eastAsia" w:ascii="新宋体" w:hAnsi="新宋体" w:eastAsia="新宋体" w:cs="新宋体"/>
          <w:b w:val="0"/>
          <w:sz w:val="24"/>
          <w:szCs w:val="24"/>
        </w:rPr>
        <w:t>2. 招标文件</w:t>
      </w:r>
      <w:bookmarkEnd w:id="85"/>
      <w:bookmarkEnd w:id="86"/>
      <w:bookmarkEnd w:id="87"/>
      <w:bookmarkEnd w:id="88"/>
      <w:bookmarkEnd w:id="89"/>
      <w:bookmarkEnd w:id="90"/>
    </w:p>
    <w:p>
      <w:pPr>
        <w:pStyle w:val="3"/>
        <w:spacing w:before="10" w:after="0" w:line="400" w:lineRule="exact"/>
        <w:rPr>
          <w:rFonts w:ascii="新宋体" w:hAnsi="新宋体" w:eastAsia="新宋体" w:cs="新宋体"/>
          <w:b w:val="0"/>
          <w:sz w:val="24"/>
          <w:szCs w:val="24"/>
        </w:rPr>
      </w:pPr>
      <w:bookmarkStart w:id="91" w:name="_Toc4735"/>
      <w:bookmarkStart w:id="92" w:name="_Toc509993832"/>
      <w:bookmarkStart w:id="93" w:name="_Toc234832885"/>
      <w:r>
        <w:rPr>
          <w:rFonts w:hint="eastAsia" w:ascii="新宋体" w:hAnsi="新宋体" w:eastAsia="新宋体" w:cs="新宋体"/>
          <w:b w:val="0"/>
          <w:sz w:val="24"/>
          <w:szCs w:val="24"/>
        </w:rPr>
        <w:t>2.1 招标文件的组成</w:t>
      </w:r>
      <w:bookmarkEnd w:id="91"/>
      <w:bookmarkEnd w:id="92"/>
      <w:bookmarkEnd w:id="93"/>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本招标文件包括：</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（1）招标公告（或投标邀请书）；</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（2）投标人须知；</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（3）评标办法；</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（4）合同条款及格式；</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（5）发包人要求；</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（6）投标文件格式；</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（7）投标人须知前附表规定的其他资料。</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根据本章第1.10款、第2.2款和第2.3款对招标文件所作的澄清、修改，构成招标文件的组成部分。</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当招标文件、招标文件的澄清或修改等在同一内容的表述上不一致时，以最后发出的书面文件为准。</w:t>
      </w:r>
    </w:p>
    <w:p>
      <w:pPr>
        <w:pStyle w:val="3"/>
        <w:spacing w:before="10" w:after="0" w:line="400" w:lineRule="exact"/>
        <w:rPr>
          <w:rFonts w:ascii="新宋体" w:hAnsi="新宋体" w:eastAsia="新宋体" w:cs="新宋体"/>
          <w:b w:val="0"/>
          <w:sz w:val="24"/>
          <w:szCs w:val="24"/>
        </w:rPr>
      </w:pPr>
      <w:bookmarkStart w:id="94" w:name="_Toc234832886"/>
      <w:bookmarkStart w:id="95" w:name="_Toc509993833"/>
      <w:bookmarkStart w:id="96" w:name="_Toc10928"/>
      <w:r>
        <w:rPr>
          <w:rFonts w:hint="eastAsia" w:ascii="新宋体" w:hAnsi="新宋体" w:eastAsia="新宋体" w:cs="新宋体"/>
          <w:b w:val="0"/>
          <w:sz w:val="24"/>
          <w:szCs w:val="24"/>
        </w:rPr>
        <w:t>2.2 招标文件的澄清</w:t>
      </w:r>
      <w:bookmarkEnd w:id="94"/>
      <w:bookmarkEnd w:id="95"/>
      <w:bookmarkEnd w:id="96"/>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2.2.2 招标文件的澄清以投标人须知前附表规定的形式发给所有购买招标文件的投标人，但不指明澄清问题的来源。澄清发出的时间距本章第4.2.1项规定的投标截止时间不足15日，且澄清内容可能影响投标文件编制的，将相应延长投标截止时间。</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2.2.3 投标人在收到澄清后，应按投标人须知前附表规定的时间和形式通知招标人，确认已收到该澄清。</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2.2.4 除非招标人认为确有必要答复，否则，招标人有权拒绝回复投标人在本章第2.2.1项规定的时间后提出的任何澄清要求。</w:t>
      </w:r>
    </w:p>
    <w:p>
      <w:pPr>
        <w:pStyle w:val="3"/>
        <w:spacing w:before="10" w:after="0" w:line="400" w:lineRule="exact"/>
        <w:rPr>
          <w:rFonts w:ascii="新宋体" w:hAnsi="新宋体" w:eastAsia="新宋体" w:cs="新宋体"/>
          <w:b w:val="0"/>
          <w:sz w:val="24"/>
          <w:szCs w:val="24"/>
        </w:rPr>
      </w:pPr>
      <w:bookmarkStart w:id="97" w:name="_Toc509993834"/>
      <w:bookmarkStart w:id="98" w:name="_Toc25651"/>
      <w:bookmarkStart w:id="99" w:name="_Toc234832887"/>
      <w:r>
        <w:rPr>
          <w:rFonts w:hint="eastAsia" w:ascii="新宋体" w:hAnsi="新宋体" w:eastAsia="新宋体" w:cs="新宋体"/>
          <w:b w:val="0"/>
          <w:sz w:val="24"/>
          <w:szCs w:val="24"/>
        </w:rPr>
        <w:t>2.3 招标文件的修改</w:t>
      </w:r>
      <w:bookmarkEnd w:id="97"/>
      <w:bookmarkEnd w:id="98"/>
      <w:bookmarkEnd w:id="99"/>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2.3.1 招标人以投标人须知前附表规定的形式修改招标文件，并通知所有已购买招标文件的投标人。修改招标文件的时间距本章第4.2.1项规定的投标截止时间不足15日，且修改内容可能影响投标文件编制的，将相应延长投标截止时间。</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2.3.2 投标人收到修改内容后，应按投标人须知前附表规定的时间和形式通知招标人，确认已收到该修改。</w:t>
      </w:r>
    </w:p>
    <w:p>
      <w:pPr>
        <w:pStyle w:val="3"/>
        <w:spacing w:before="10" w:after="0" w:line="400" w:lineRule="exact"/>
        <w:rPr>
          <w:rFonts w:ascii="新宋体" w:hAnsi="新宋体" w:eastAsia="新宋体" w:cs="新宋体"/>
          <w:b w:val="0"/>
          <w:sz w:val="24"/>
          <w:szCs w:val="24"/>
        </w:rPr>
      </w:pPr>
      <w:bookmarkStart w:id="100" w:name="_Toc27802"/>
      <w:bookmarkStart w:id="101" w:name="_Toc509993835"/>
      <w:r>
        <w:rPr>
          <w:rFonts w:hint="eastAsia" w:ascii="新宋体" w:hAnsi="新宋体" w:eastAsia="新宋体" w:cs="新宋体"/>
          <w:b w:val="0"/>
          <w:sz w:val="24"/>
          <w:szCs w:val="24"/>
        </w:rPr>
        <w:t>2.4 招标文件的异议</w:t>
      </w:r>
      <w:bookmarkEnd w:id="100"/>
      <w:bookmarkEnd w:id="101"/>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投标人或其他利害关系人对招标文件有异议的，应在投标截止时间10日前以书面形式提出。招标人将在收到异议之日起3日内作出答复；作出答复前，将暂停招标投标活动。</w:t>
      </w:r>
    </w:p>
    <w:p>
      <w:pPr>
        <w:pStyle w:val="3"/>
        <w:spacing w:before="10" w:after="0" w:line="400" w:lineRule="exact"/>
        <w:rPr>
          <w:rFonts w:ascii="新宋体" w:hAnsi="新宋体" w:eastAsia="新宋体" w:cs="新宋体"/>
          <w:b w:val="0"/>
          <w:sz w:val="24"/>
          <w:szCs w:val="24"/>
        </w:rPr>
      </w:pPr>
      <w:bookmarkStart w:id="102" w:name="_Toc509993836"/>
      <w:bookmarkStart w:id="103" w:name="_Toc234832888"/>
      <w:bookmarkStart w:id="104" w:name="_Toc8900_WPSOffice_Level2"/>
      <w:bookmarkStart w:id="105" w:name="_Toc28157_WPSOffice_Level2"/>
      <w:bookmarkStart w:id="106" w:name="_Toc22800_WPSOffice_Level2"/>
      <w:bookmarkStart w:id="107" w:name="_Toc17155"/>
      <w:r>
        <w:rPr>
          <w:rFonts w:hint="eastAsia" w:ascii="新宋体" w:hAnsi="新宋体" w:eastAsia="新宋体" w:cs="新宋体"/>
          <w:b w:val="0"/>
          <w:sz w:val="24"/>
          <w:szCs w:val="24"/>
        </w:rPr>
        <w:t>3. 投标文件</w:t>
      </w:r>
      <w:bookmarkEnd w:id="102"/>
      <w:bookmarkEnd w:id="103"/>
      <w:bookmarkEnd w:id="104"/>
      <w:bookmarkEnd w:id="105"/>
      <w:bookmarkEnd w:id="106"/>
      <w:bookmarkEnd w:id="107"/>
    </w:p>
    <w:p>
      <w:pPr>
        <w:pStyle w:val="3"/>
        <w:spacing w:before="10" w:after="0" w:line="400" w:lineRule="exact"/>
        <w:rPr>
          <w:rFonts w:ascii="新宋体" w:hAnsi="新宋体" w:eastAsia="新宋体" w:cs="新宋体"/>
          <w:b w:val="0"/>
          <w:sz w:val="24"/>
          <w:szCs w:val="24"/>
        </w:rPr>
      </w:pPr>
      <w:bookmarkStart w:id="108" w:name="_Toc234832889"/>
      <w:bookmarkStart w:id="109" w:name="_Toc1438"/>
      <w:bookmarkStart w:id="110" w:name="_Toc509993837"/>
      <w:r>
        <w:rPr>
          <w:rFonts w:hint="eastAsia" w:ascii="新宋体" w:hAnsi="新宋体" w:eastAsia="新宋体" w:cs="新宋体"/>
          <w:b w:val="0"/>
          <w:sz w:val="24"/>
          <w:szCs w:val="24"/>
        </w:rPr>
        <w:t>3.1 投标文件的组成</w:t>
      </w:r>
      <w:bookmarkEnd w:id="108"/>
      <w:bookmarkEnd w:id="109"/>
      <w:bookmarkEnd w:id="110"/>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3.1.1 投标文件应采用双信封形式，包括下列内容：</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第一个信封（商务及技术文件）：</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（1）投标函；</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（2）授权委托书或法定代表人身份证明；</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（3）联合体协议书；</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（4）投标保证金；</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（5）拟分包项目情况表；</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（6）资格审查资料；</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（7）技术建议书；</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（8）投标人须知前附表规定的其他资料。</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第二个信封（报价文件）：</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（1）投标函；</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（2）勘察设计费用清单。</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投标人在评标过程中作出的符合法律法规和招标文件规定的澄清确认，构成投标文件的组成部分。</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3.1.2 投标人须知前附表规定不接受联合体投标的，或投标人没有组成联合体的，投标文件不包括本章第3.1.1（3）目所指的联合体协议书。</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3.1.3 投标人须知前附表未要求提交投标保证金的，投标文件不包括本章第3.1.1（4）目所指的投标保证金。</w:t>
      </w:r>
    </w:p>
    <w:p>
      <w:pPr>
        <w:pStyle w:val="3"/>
        <w:spacing w:before="10" w:after="0" w:line="400" w:lineRule="exact"/>
        <w:rPr>
          <w:rFonts w:ascii="新宋体" w:hAnsi="新宋体" w:eastAsia="新宋体" w:cs="新宋体"/>
          <w:b w:val="0"/>
          <w:sz w:val="24"/>
          <w:szCs w:val="24"/>
        </w:rPr>
      </w:pPr>
      <w:bookmarkStart w:id="111" w:name="_Toc28215"/>
      <w:bookmarkStart w:id="112" w:name="_Toc509993838"/>
      <w:bookmarkStart w:id="113" w:name="_Toc234832890"/>
      <w:r>
        <w:rPr>
          <w:rFonts w:hint="eastAsia" w:ascii="新宋体" w:hAnsi="新宋体" w:eastAsia="新宋体" w:cs="新宋体"/>
          <w:b w:val="0"/>
          <w:sz w:val="24"/>
          <w:szCs w:val="24"/>
        </w:rPr>
        <w:t>3.2 投标报价</w:t>
      </w:r>
      <w:bookmarkEnd w:id="111"/>
      <w:bookmarkEnd w:id="112"/>
      <w:bookmarkEnd w:id="113"/>
      <w:r>
        <w:rPr>
          <w:rFonts w:hint="eastAsia" w:ascii="新宋体" w:hAnsi="新宋体" w:eastAsia="新宋体" w:cs="新宋体"/>
          <w:b w:val="0"/>
          <w:sz w:val="24"/>
          <w:szCs w:val="24"/>
        </w:rPr>
        <w:t xml:space="preserve"> </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3.2.1 投标报价应包括国家规定的增值税税金，除投标人须知前附表另有规定外，增值税税金按一般计税方法计算。投标人应按第六章“投标文件格式”的要求在投标函中进行报价并填写勘察设计费用清单相应表格。</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3.2.2 投标人应充分了解本项目的总体情况以及影响投标报价的其他要素，按照招标文件规定的勘察设计工作内容和计划工作量，自行测算勘察设计费用。</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3.2.3</w:t>
      </w:r>
      <w:bookmarkStart w:id="114" w:name="_Toc384308224"/>
      <w:bookmarkEnd w:id="114"/>
      <w:bookmarkStart w:id="115" w:name="_Toc361508599"/>
      <w:bookmarkEnd w:id="115"/>
      <w:bookmarkStart w:id="116" w:name="_Toc152042319"/>
      <w:bookmarkEnd w:id="116"/>
      <w:bookmarkStart w:id="117" w:name="_Toc369531530"/>
      <w:bookmarkEnd w:id="117"/>
      <w:bookmarkStart w:id="118" w:name="_Toc247513967"/>
      <w:bookmarkEnd w:id="118"/>
      <w:bookmarkStart w:id="119" w:name="_Toc144974511"/>
      <w:bookmarkEnd w:id="119"/>
      <w:bookmarkStart w:id="120" w:name="_Toc300834964"/>
      <w:bookmarkEnd w:id="120"/>
      <w:bookmarkStart w:id="121" w:name="_Toc247527568"/>
      <w:bookmarkEnd w:id="121"/>
      <w:bookmarkStart w:id="122" w:name="_Toc352691487"/>
      <w:bookmarkEnd w:id="122"/>
      <w:bookmarkStart w:id="123" w:name="_Toc15242"/>
      <w:bookmarkEnd w:id="123"/>
      <w:bookmarkStart w:id="124" w:name="_Toc152045543"/>
      <w:bookmarkEnd w:id="124"/>
      <w:r>
        <w:rPr>
          <w:rFonts w:hint="eastAsia" w:ascii="新宋体" w:hAnsi="新宋体" w:eastAsia="新宋体" w:cs="新宋体"/>
          <w:sz w:val="24"/>
        </w:rPr>
        <w:t xml:space="preserve"> 本项目的报价方式见投标人须知前附表。投标人在投标截止时间前修改投标函中的投标报价总额，应同时修改投标文件“勘察设计费用清单”中的相应报价。此修改须符合本章第4.3款的有关要求。</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3.2.4 招标人设有最高投标限价的，投标人的投标报价不得超过最高投标限价，最高投标限价在投标</w:t>
      </w:r>
      <w:bookmarkStart w:id="125" w:name="_Toc152045544"/>
      <w:bookmarkStart w:id="126" w:name="_Toc352691488"/>
      <w:bookmarkStart w:id="127" w:name="_Toc144974512"/>
      <w:bookmarkStart w:id="128" w:name="_Toc247513968"/>
      <w:bookmarkStart w:id="129" w:name="_Toc369531531"/>
      <w:bookmarkStart w:id="130" w:name="_Toc384308225"/>
      <w:bookmarkStart w:id="131" w:name="_Toc10429"/>
      <w:bookmarkStart w:id="132" w:name="_Toc247527569"/>
      <w:bookmarkStart w:id="133" w:name="_Toc300834965"/>
      <w:bookmarkStart w:id="134" w:name="_Toc152042320"/>
      <w:bookmarkStart w:id="135" w:name="_Toc361508600"/>
      <w:r>
        <w:rPr>
          <w:rFonts w:hint="eastAsia" w:ascii="新宋体" w:hAnsi="新宋体" w:eastAsia="新宋体" w:cs="新宋体"/>
          <w:sz w:val="24"/>
        </w:rPr>
        <w:t>人须知前附表中载明。</w:t>
      </w:r>
      <w:bookmarkEnd w:id="125"/>
      <w:bookmarkEnd w:id="126"/>
      <w:bookmarkEnd w:id="127"/>
      <w:bookmarkEnd w:id="128"/>
      <w:bookmarkEnd w:id="129"/>
      <w:bookmarkEnd w:id="130"/>
      <w:bookmarkEnd w:id="131"/>
      <w:bookmarkEnd w:id="132"/>
      <w:bookmarkEnd w:id="133"/>
      <w:bookmarkEnd w:id="134"/>
      <w:bookmarkEnd w:id="135"/>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3.2.5 投标报价的其他要求见投标人须知前附表。</w:t>
      </w:r>
    </w:p>
    <w:p>
      <w:pPr>
        <w:pStyle w:val="3"/>
        <w:spacing w:before="10" w:after="0" w:line="400" w:lineRule="exact"/>
        <w:rPr>
          <w:rFonts w:ascii="新宋体" w:hAnsi="新宋体" w:eastAsia="新宋体" w:cs="新宋体"/>
          <w:b w:val="0"/>
          <w:sz w:val="24"/>
          <w:szCs w:val="24"/>
        </w:rPr>
      </w:pPr>
      <w:bookmarkStart w:id="136" w:name="_Toc234832891"/>
      <w:bookmarkStart w:id="137" w:name="_Toc23905"/>
      <w:bookmarkStart w:id="138" w:name="_Toc509993839"/>
      <w:r>
        <w:rPr>
          <w:rFonts w:hint="eastAsia" w:ascii="新宋体" w:hAnsi="新宋体" w:eastAsia="新宋体" w:cs="新宋体"/>
          <w:b w:val="0"/>
          <w:sz w:val="24"/>
          <w:szCs w:val="24"/>
        </w:rPr>
        <w:t>3.3 投标有效期</w:t>
      </w:r>
      <w:bookmarkEnd w:id="136"/>
      <w:bookmarkEnd w:id="137"/>
      <w:bookmarkEnd w:id="138"/>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3.3.1 除投标人须知前附表另有规定外，投标有效期为90日。</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3.3.2 在投标有效期内，投标人撤销投标文件的，应承担招标文件和法律规定的责任。</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支票形式递交的投标保证金的银行同期活期存款利息。</w:t>
      </w:r>
    </w:p>
    <w:p>
      <w:pPr>
        <w:pStyle w:val="3"/>
        <w:spacing w:before="10" w:after="0" w:line="400" w:lineRule="exact"/>
        <w:rPr>
          <w:rFonts w:ascii="新宋体" w:hAnsi="新宋体" w:eastAsia="新宋体" w:cs="新宋体"/>
          <w:b w:val="0"/>
          <w:sz w:val="24"/>
          <w:szCs w:val="24"/>
        </w:rPr>
      </w:pPr>
      <w:bookmarkStart w:id="139" w:name="_Toc9842"/>
      <w:bookmarkStart w:id="140" w:name="_Toc509993840"/>
      <w:bookmarkStart w:id="141" w:name="_Toc234832892"/>
      <w:r>
        <w:rPr>
          <w:rFonts w:hint="eastAsia" w:ascii="新宋体" w:hAnsi="新宋体" w:eastAsia="新宋体" w:cs="新宋体"/>
          <w:b w:val="0"/>
          <w:sz w:val="24"/>
          <w:szCs w:val="24"/>
        </w:rPr>
        <w:t>3.4 投标保证金</w:t>
      </w:r>
      <w:bookmarkEnd w:id="139"/>
      <w:bookmarkEnd w:id="140"/>
      <w:bookmarkEnd w:id="141"/>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3.4.1 投标人在递交投标文件的同时，应按投标人须知前附表规定的金额</w:t>
      </w:r>
      <w:r>
        <w:rPr>
          <w:rFonts w:hint="eastAsia" w:ascii="新宋体" w:hAnsi="新宋体" w:eastAsia="新宋体" w:cs="新宋体"/>
          <w:sz w:val="24"/>
          <w:vertAlign w:val="superscript"/>
        </w:rPr>
        <w:footnoteReference w:id="1"/>
      </w:r>
      <w:r>
        <w:rPr>
          <w:rFonts w:hint="eastAsia" w:ascii="新宋体" w:hAnsi="新宋体" w:eastAsia="新宋体" w:cs="新宋体"/>
          <w:sz w:val="24"/>
        </w:rPr>
        <w:t>和第六章“投标文件格式”规定的投标保证金格式递交投标保证金，并作为其投标文件的组成部分。联合体投标的，其投标保证金由牵头人递交，并应符合投标人须知前附表的规定。</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投标保证金应采用现金、支票、银行保函或招标人在投标人须知前附表规定的其他形式。</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（1）若采用现金或支票，投标人应在递交投标文件截止时间之前，将投标保证金由投标人的基本账户转入招标人指定账户，否则视为投标保证金无效。招标人指定的开户银行及账号见投标人须知前附表。</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（2）若采用银行保函，则应由符合投标人须知前附表规定级别的银行开具，并采用招标文件提供的格式。银行保函复印件装订在投标文件内，原件应在递交投标文件截止时间之前单独密封递交给招标人。</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无论采取何种形式的投标保证金，投标保证金有效期均应与投标有效期一致。招标人如果按本章第3.3.3项的规定延长了投标有效期，则投标保证金的有效期也相应延长。</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3.4.2 投标人不按本章第3.4.1项要求提交投标保证金的，评标委员会将否决其投标。</w:t>
      </w:r>
    </w:p>
    <w:p>
      <w:pPr>
        <w:spacing w:before="10" w:line="400" w:lineRule="exact"/>
        <w:ind w:firstLine="480" w:firstLineChars="200"/>
        <w:rPr>
          <w:rFonts w:hint="eastAsia" w:ascii="宋体" w:hAnsi="宋体" w:eastAsia="宋体" w:cs="宋体"/>
          <w:sz w:val="24"/>
        </w:rPr>
      </w:pPr>
      <w:r>
        <w:rPr>
          <w:rFonts w:hint="eastAsia" w:ascii="新宋体" w:hAnsi="新宋体" w:eastAsia="新宋体" w:cs="新宋体"/>
          <w:sz w:val="24"/>
        </w:rPr>
        <w:t>3.4.3 招标人最迟将在中标通知书发出后5日内向中标候选人以外的其他投标人退还投标保证金，与中标人签订合同后5日内向中标人和其他中标候</w:t>
      </w:r>
      <w:r>
        <w:rPr>
          <w:rFonts w:hint="eastAsia" w:ascii="宋体" w:hAnsi="宋体" w:eastAsia="宋体" w:cs="宋体"/>
          <w:sz w:val="24"/>
        </w:rPr>
        <w:t>选人退还投标保证金。投标保证金以现金或支票形式递交的，招标人应同时退还投标保证金的银行同期活期存款利息，且退还至投标人的基本账户。</w:t>
      </w:r>
    </w:p>
    <w:p>
      <w:pPr>
        <w:spacing w:before="10" w:line="400" w:lineRule="exact"/>
        <w:ind w:firstLine="480" w:firstLineChars="200"/>
        <w:rPr>
          <w:rFonts w:hint="eastAsia" w:ascii="宋体" w:hAnsi="宋体" w:eastAsia="宋体" w:cs="宋体"/>
          <w:sz w:val="24"/>
        </w:rPr>
      </w:pPr>
      <w:r>
        <w:rPr>
          <w:rFonts w:hint="eastAsia" w:ascii="宋体" w:hAnsi="宋体" w:eastAsia="宋体" w:cs="宋体"/>
          <w:sz w:val="24"/>
        </w:rPr>
        <w:t>利息计算原则见投标人须知前附表。</w:t>
      </w:r>
    </w:p>
    <w:p>
      <w:pPr>
        <w:spacing w:before="10" w:line="400" w:lineRule="exact"/>
        <w:ind w:firstLine="480" w:firstLineChars="200"/>
        <w:rPr>
          <w:rFonts w:hint="eastAsia" w:ascii="宋体" w:hAnsi="宋体" w:eastAsia="宋体" w:cs="宋体"/>
          <w:sz w:val="24"/>
        </w:rPr>
      </w:pPr>
      <w:r>
        <w:rPr>
          <w:rFonts w:hint="eastAsia" w:ascii="宋体" w:hAnsi="宋体" w:eastAsia="宋体" w:cs="宋体"/>
          <w:sz w:val="24"/>
        </w:rPr>
        <w:t>3.4.4 有下列情形之一的，投标保证金将不予退还：</w:t>
      </w:r>
    </w:p>
    <w:p>
      <w:pPr>
        <w:spacing w:before="10" w:line="400" w:lineRule="exact"/>
        <w:ind w:firstLine="480" w:firstLineChars="200"/>
        <w:rPr>
          <w:rFonts w:hint="eastAsia" w:ascii="宋体" w:hAnsi="宋体" w:eastAsia="宋体" w:cs="宋体"/>
          <w:sz w:val="24"/>
        </w:rPr>
      </w:pPr>
      <w:r>
        <w:rPr>
          <w:rFonts w:hint="eastAsia" w:ascii="宋体" w:hAnsi="宋体" w:eastAsia="宋体" w:cs="宋体"/>
          <w:sz w:val="24"/>
        </w:rPr>
        <w:t>（1）投标人在投标有效期内撤销投标文件；</w:t>
      </w:r>
    </w:p>
    <w:p>
      <w:pPr>
        <w:spacing w:before="10" w:line="400" w:lineRule="exact"/>
        <w:ind w:firstLine="480" w:firstLineChars="200"/>
        <w:rPr>
          <w:rFonts w:hint="eastAsia" w:ascii="宋体" w:hAnsi="宋体" w:eastAsia="宋体" w:cs="宋体"/>
          <w:sz w:val="24"/>
        </w:rPr>
      </w:pPr>
      <w:r>
        <w:rPr>
          <w:rFonts w:hint="eastAsia" w:ascii="宋体" w:hAnsi="宋体" w:eastAsia="宋体" w:cs="宋体"/>
          <w:sz w:val="24"/>
        </w:rPr>
        <w:t>（2）中标人在收到中标通知书后，无正当理由不与招标人订立合同，在签订合同时向招标人提出附加条件，或不按照招标文件要求提交履约保证金；</w:t>
      </w:r>
    </w:p>
    <w:p>
      <w:pPr>
        <w:spacing w:before="10" w:line="400" w:lineRule="exact"/>
        <w:ind w:firstLine="480" w:firstLineChars="200"/>
        <w:rPr>
          <w:rFonts w:hint="eastAsia" w:ascii="宋体" w:hAnsi="宋体" w:eastAsia="宋体" w:cs="宋体"/>
          <w:sz w:val="24"/>
        </w:rPr>
      </w:pPr>
      <w:r>
        <w:rPr>
          <w:rFonts w:hint="eastAsia" w:ascii="宋体" w:hAnsi="宋体" w:eastAsia="宋体" w:cs="宋体"/>
          <w:sz w:val="24"/>
        </w:rPr>
        <w:t>（3）发生投标人须知前附表规定的其他可以不予退还投标保证金的情形。</w:t>
      </w:r>
    </w:p>
    <w:p>
      <w:pPr>
        <w:pStyle w:val="3"/>
        <w:spacing w:before="10" w:after="0" w:line="400" w:lineRule="exact"/>
        <w:rPr>
          <w:rFonts w:hint="eastAsia" w:ascii="宋体" w:hAnsi="宋体" w:eastAsia="宋体" w:cs="宋体"/>
          <w:b w:val="0"/>
          <w:sz w:val="24"/>
          <w:szCs w:val="24"/>
        </w:rPr>
      </w:pPr>
      <w:bookmarkStart w:id="142" w:name="_Toc509993841"/>
      <w:bookmarkStart w:id="143" w:name="_Toc234832893"/>
      <w:bookmarkStart w:id="144" w:name="_Toc4930"/>
      <w:r>
        <w:rPr>
          <w:rFonts w:hint="eastAsia" w:ascii="宋体" w:hAnsi="宋体" w:eastAsia="宋体" w:cs="宋体"/>
          <w:b w:val="0"/>
          <w:sz w:val="24"/>
          <w:szCs w:val="24"/>
        </w:rPr>
        <w:t>3.5 资格审查资料（适用于已进行资格预审的）</w:t>
      </w:r>
      <w:bookmarkEnd w:id="142"/>
      <w:bookmarkEnd w:id="143"/>
      <w:bookmarkEnd w:id="144"/>
    </w:p>
    <w:p>
      <w:pPr>
        <w:spacing w:before="10" w:line="400" w:lineRule="exact"/>
        <w:ind w:firstLine="480" w:firstLineChars="200"/>
        <w:rPr>
          <w:rFonts w:hint="eastAsia" w:ascii="宋体" w:hAnsi="宋体" w:eastAsia="宋体" w:cs="宋体"/>
          <w:sz w:val="24"/>
        </w:rPr>
      </w:pPr>
      <w:r>
        <w:rPr>
          <w:rFonts w:hint="eastAsia" w:ascii="宋体" w:hAnsi="宋体" w:eastAsia="宋体" w:cs="宋体"/>
          <w:sz w:val="24"/>
        </w:rPr>
        <w:t>3.5.1 投标人在递交投标文件前，发生可能影响其投标资格的新情况的，应在投标文件中更新或补充其在申请资格预审时提供的资料，以证实其各项资格条件仍能继续满足资格预审文件的要求。</w:t>
      </w:r>
    </w:p>
    <w:p>
      <w:pPr>
        <w:spacing w:before="10" w:line="400" w:lineRule="exact"/>
        <w:ind w:firstLine="480" w:firstLineChars="200"/>
        <w:rPr>
          <w:rFonts w:hint="eastAsia" w:ascii="宋体" w:hAnsi="宋体" w:eastAsia="宋体" w:cs="宋体"/>
          <w:sz w:val="24"/>
        </w:rPr>
      </w:pPr>
      <w:r>
        <w:rPr>
          <w:rFonts w:hint="eastAsia" w:ascii="宋体" w:hAnsi="宋体" w:eastAsia="宋体" w:cs="宋体"/>
          <w:sz w:val="24"/>
        </w:rPr>
        <w:t>3.5.2 如果投标人在投标阶段发生合并、分立、破产等重大变化，或发生重大安全或质量事故，或由于其他任何情况，导致投标人不再具备资格预审文件规定的各项资格条件或其投标影响招标公正性时，投标人必须在其投标文件中对上述情况进行如实说明，否则，招标人一经查实，将视为投标人弄虚作假，其投标将被否决。</w:t>
      </w:r>
    </w:p>
    <w:p>
      <w:pPr>
        <w:spacing w:before="10" w:line="400" w:lineRule="exact"/>
        <w:ind w:firstLine="480" w:firstLineChars="200"/>
        <w:rPr>
          <w:rFonts w:hint="eastAsia" w:ascii="宋体" w:hAnsi="宋体" w:eastAsia="宋体" w:cs="宋体"/>
          <w:sz w:val="24"/>
        </w:rPr>
      </w:pPr>
      <w:r>
        <w:rPr>
          <w:rFonts w:hint="eastAsia" w:ascii="宋体" w:hAnsi="宋体" w:eastAsia="宋体" w:cs="宋体"/>
          <w:sz w:val="24"/>
        </w:rPr>
        <w:t>3.5.3 招标人有权核查投标人在资格预审申请文件和投标文件中提供的资料，若在评标期间发现投标人提供了虚假资料，其投标将被否决；若在签订合同前发现作为中标候选人的投标人提供了虚假资料，招标人有权取消其中标资格；若在合同实施期间发现投标人提供了虚假资料，招标人有权从合同价款或履约保证金中扣除不超过5%签约合同价的金额作为违约金。同时招标人将投标人上述弄虚作假行为上报省级交通运输主管部门，作为不良记录纳入公路建设市场信用信息管理系统。</w:t>
      </w:r>
    </w:p>
    <w:p>
      <w:pPr>
        <w:pStyle w:val="3"/>
        <w:spacing w:before="10" w:after="0" w:line="400" w:lineRule="exact"/>
        <w:rPr>
          <w:rFonts w:hint="eastAsia" w:ascii="宋体" w:hAnsi="宋体" w:eastAsia="宋体" w:cs="宋体"/>
          <w:b w:val="0"/>
          <w:sz w:val="24"/>
          <w:szCs w:val="24"/>
        </w:rPr>
      </w:pPr>
      <w:bookmarkStart w:id="145" w:name="_Toc4538"/>
      <w:bookmarkStart w:id="146" w:name="_Toc509993842"/>
      <w:bookmarkStart w:id="147" w:name="_Toc234832894"/>
      <w:r>
        <w:rPr>
          <w:rFonts w:hint="eastAsia" w:ascii="宋体" w:hAnsi="宋体" w:eastAsia="宋体" w:cs="宋体"/>
          <w:b w:val="0"/>
          <w:sz w:val="24"/>
          <w:szCs w:val="24"/>
        </w:rPr>
        <w:t>3.5 资格审查资料（适用于未进行资格预审的）</w:t>
      </w:r>
      <w:bookmarkEnd w:id="145"/>
      <w:bookmarkEnd w:id="146"/>
      <w:bookmarkEnd w:id="147"/>
    </w:p>
    <w:p>
      <w:pPr>
        <w:spacing w:before="10" w:line="400" w:lineRule="exact"/>
        <w:ind w:firstLine="480" w:firstLineChars="200"/>
        <w:rPr>
          <w:rFonts w:hint="eastAsia" w:ascii="宋体" w:hAnsi="宋体" w:eastAsia="宋体" w:cs="宋体"/>
          <w:sz w:val="24"/>
        </w:rPr>
      </w:pPr>
      <w:r>
        <w:rPr>
          <w:rFonts w:hint="eastAsia" w:ascii="宋体" w:hAnsi="宋体" w:eastAsia="宋体" w:cs="宋体"/>
          <w:sz w:val="24"/>
        </w:rPr>
        <w:t>除投标人须知前附表另有规定外，投标人应按下列规定提供资格审查资料，以证明其满足本章第1.4款规定的资质、业绩、信誉等要求。</w:t>
      </w:r>
    </w:p>
    <w:p>
      <w:pPr>
        <w:spacing w:before="10" w:line="400" w:lineRule="exact"/>
        <w:ind w:firstLine="480" w:firstLineChars="200"/>
        <w:rPr>
          <w:rFonts w:hint="eastAsia" w:ascii="宋体" w:hAnsi="宋体" w:eastAsia="宋体" w:cs="宋体"/>
          <w:sz w:val="24"/>
        </w:rPr>
      </w:pPr>
      <w:r>
        <w:rPr>
          <w:rFonts w:hint="eastAsia" w:ascii="宋体" w:hAnsi="宋体" w:eastAsia="宋体" w:cs="宋体"/>
          <w:sz w:val="24"/>
        </w:rPr>
        <w:t>3.5.1 “投标人基本情况表”应附企业法人营业执照副本和组织机构代码证副本（按照“三证合一”或“五证合一”登记制度进行登记的，可仅提供营业执照副本，下同）、设计资质证书副本、基本账户开户许可证（或基本存款账户证明）的复印件，投标人在交通运输部“全国公路建设市场信用信息管理系统”公路工程设计资质企业名录中的网页截图复印件，以及投标人在国家企业信用信息公示系统中基础信息（体现股东及出资详细信息）的网页截图或由法定的社会验资机构出具的验资报告或注册地工商部门出具的股东出资情况证明复印件。</w:t>
      </w:r>
    </w:p>
    <w:p>
      <w:pPr>
        <w:spacing w:before="10" w:line="400" w:lineRule="exact"/>
        <w:ind w:firstLine="480" w:firstLineChars="200"/>
        <w:rPr>
          <w:rFonts w:hint="eastAsia" w:ascii="宋体" w:hAnsi="宋体" w:eastAsia="宋体" w:cs="宋体"/>
          <w:sz w:val="24"/>
        </w:rPr>
      </w:pPr>
      <w:r>
        <w:rPr>
          <w:rFonts w:hint="eastAsia" w:ascii="宋体" w:hAnsi="宋体" w:eastAsia="宋体" w:cs="宋体"/>
          <w:sz w:val="24"/>
        </w:rPr>
        <w:t>企业法人营业执照副本和组织机构代码证副本、设计资质证书副本、基本账户开户许可证（或基本存款账户证明）的复印件应提供全本（证书封面、封底、空白页除外），应包括投标人名称、投标人其他相关信息、颁发机构名称、投标人信息变更情况等关键页在内，并逐页加盖投标人单位章。</w:t>
      </w:r>
    </w:p>
    <w:p>
      <w:pPr>
        <w:pStyle w:val="17"/>
        <w:rPr>
          <w:rFonts w:hint="eastAsia" w:ascii="宋体" w:hAnsi="宋体" w:eastAsia="宋体" w:cs="宋体"/>
        </w:rPr>
      </w:pPr>
      <w:r>
        <w:rPr>
          <w:rFonts w:hint="eastAsia" w:ascii="宋体" w:hAnsi="宋体" w:eastAsia="宋体" w:cs="宋体"/>
          <w:sz w:val="24"/>
        </w:rPr>
        <w:t>3.5.2“财务状况表”应附经会计师事务所或审计机构审计的财务会计报表，包括资产负债表、现金流量表、利润表和财务情况说明书的复印件，具体年份要求见投标人须知前附表。投标人的成立时间少于投标人须知前附表规定年份的，应提供成立以来的财务状况表。</w:t>
      </w:r>
    </w:p>
    <w:p>
      <w:pPr>
        <w:spacing w:before="10" w:line="400" w:lineRule="exact"/>
        <w:ind w:firstLine="480" w:firstLineChars="200"/>
        <w:rPr>
          <w:rFonts w:hint="eastAsia" w:ascii="宋体" w:hAnsi="宋体" w:eastAsia="宋体" w:cs="宋体"/>
          <w:sz w:val="24"/>
        </w:rPr>
      </w:pPr>
      <w:r>
        <w:rPr>
          <w:rFonts w:hint="eastAsia" w:ascii="宋体" w:hAnsi="宋体" w:eastAsia="宋体" w:cs="宋体"/>
          <w:sz w:val="24"/>
        </w:rPr>
        <w:t>3.5.3 “近年完成的类似项目”应是已列入交通运输主管部门“公路建设市场信用信息管理系统”并公开的“初步设计已批复或施工图设计已批复”的主包业绩或分包业绩，具体时间要求见投标人须知前附表。</w:t>
      </w:r>
    </w:p>
    <w:p>
      <w:pPr>
        <w:pStyle w:val="2"/>
        <w:spacing w:line="400" w:lineRule="exact"/>
        <w:ind w:firstLine="480" w:firstLineChars="200"/>
        <w:rPr>
          <w:rFonts w:hint="eastAsia" w:ascii="宋体" w:hAnsi="宋体" w:eastAsia="宋体" w:cs="宋体"/>
        </w:rPr>
      </w:pPr>
      <w:r>
        <w:rPr>
          <w:rFonts w:hint="eastAsia" w:ascii="宋体" w:hAnsi="宋体" w:eastAsia="宋体" w:cs="宋体"/>
          <w:sz w:val="24"/>
        </w:rPr>
        <w:t>“近年完成的类似项目情况表”应附合同协议书或中标通知书，合同协议书或中标通知书不能体现业绩审查条件，可附业主或委托人开具的证明材料证明相关审查指标。如供应商未提供相关合同协议书或中标通知书，或提供相关证明材料无法证实供应商满足招标件规定的资格审查条件（业绩最低要求），则该项目业绩不予认定。</w:t>
      </w:r>
    </w:p>
    <w:p>
      <w:pPr>
        <w:spacing w:before="10" w:line="400" w:lineRule="exact"/>
        <w:ind w:firstLine="480" w:firstLineChars="200"/>
        <w:rPr>
          <w:rFonts w:hint="eastAsia" w:ascii="宋体" w:hAnsi="宋体" w:eastAsia="宋体" w:cs="宋体"/>
          <w:sz w:val="24"/>
        </w:rPr>
      </w:pPr>
      <w:r>
        <w:rPr>
          <w:rFonts w:hint="eastAsia" w:ascii="宋体" w:hAnsi="宋体" w:eastAsia="宋体" w:cs="宋体"/>
          <w:sz w:val="24"/>
        </w:rPr>
        <w:t>3.5.4 “投标人的信誉情况表”应附投标人在国家企业信用信息公示系统中未被列入严重违法失信企业名单、在“信用中国”网站中未被列入失信被执行人名单的网页截图复印件，以及投标人及其法定代表人、拟委任的项目负责人近三年内无行贿犯罪行为承诺。</w:t>
      </w:r>
    </w:p>
    <w:p>
      <w:pPr>
        <w:spacing w:before="10" w:line="400" w:lineRule="exact"/>
        <w:ind w:firstLine="480" w:firstLineChars="200"/>
        <w:rPr>
          <w:rFonts w:hint="eastAsia" w:ascii="宋体" w:hAnsi="宋体" w:eastAsia="宋体" w:cs="宋体"/>
          <w:sz w:val="24"/>
        </w:rPr>
      </w:pPr>
      <w:r>
        <w:rPr>
          <w:rFonts w:hint="eastAsia" w:ascii="宋体" w:hAnsi="宋体" w:eastAsia="宋体" w:cs="宋体"/>
          <w:sz w:val="24"/>
        </w:rPr>
        <w:t>3.5.5 “拟委任的项目负责人资历表”应附项目负责人的身份证、职称资格证书和资格审查条件所要求的其他相关证书的复印件，以及投标人所属社保机构出具的拟委任的项目负责人的社保缴费证明或其他能够证明拟委任的项目负责人参加社保的有效证明材料复印件。</w:t>
      </w:r>
    </w:p>
    <w:p>
      <w:pPr>
        <w:spacing w:before="10" w:line="400" w:lineRule="exact"/>
        <w:ind w:firstLine="480" w:firstLineChars="200"/>
        <w:rPr>
          <w:rFonts w:hint="eastAsia" w:ascii="宋体" w:hAnsi="宋体" w:eastAsia="宋体" w:cs="宋体"/>
          <w:sz w:val="24"/>
        </w:rPr>
      </w:pPr>
      <w:r>
        <w:rPr>
          <w:rFonts w:hint="eastAsia" w:ascii="宋体" w:hAnsi="宋体" w:eastAsia="宋体" w:cs="宋体"/>
          <w:sz w:val="24"/>
        </w:rPr>
        <w:t>“拟委任的项目负责人资历表”还应附体现项目负责人相关业绩的合同协议书或业主或委托人开具的证明材料。如投标人未提供相关证明材料，无法证实投标人满足招标文件规定的资格审查条件（项目负责人最低要求），则该业绩不予认定。</w:t>
      </w:r>
    </w:p>
    <w:p>
      <w:pPr>
        <w:spacing w:before="10" w:line="400" w:lineRule="exact"/>
        <w:ind w:firstLine="480" w:firstLineChars="200"/>
        <w:rPr>
          <w:rFonts w:hint="eastAsia" w:ascii="宋体" w:hAnsi="宋体" w:eastAsia="宋体" w:cs="宋体"/>
          <w:sz w:val="24"/>
        </w:rPr>
      </w:pPr>
      <w:r>
        <w:rPr>
          <w:rFonts w:hint="eastAsia" w:ascii="宋体" w:hAnsi="宋体" w:eastAsia="宋体" w:cs="宋体"/>
          <w:sz w:val="24"/>
        </w:rPr>
        <w:t>3.5.6 “拟委任的分项负责人汇总表”（如有）应填报满足投标人须知前附表附录5规定的各专业分项负责人的相关信息。“拟委任的分项负责人资历表”（如有）中分项负责人应附身份证、职称资格证书和资格审查条件所要求的其他相关证书的复印件，相关业绩证明材料复印件，以及投标人所属社保机构出具的社保缴费证明或其他能够证明其参加社保的有效证明材料复印件。</w:t>
      </w:r>
    </w:p>
    <w:p>
      <w:pPr>
        <w:spacing w:before="10" w:line="400" w:lineRule="exact"/>
        <w:ind w:firstLine="480" w:firstLineChars="200"/>
        <w:rPr>
          <w:rFonts w:hint="eastAsia" w:ascii="宋体" w:hAnsi="宋体" w:eastAsia="宋体" w:cs="宋体"/>
          <w:sz w:val="24"/>
        </w:rPr>
      </w:pPr>
      <w:r>
        <w:rPr>
          <w:rFonts w:hint="eastAsia" w:ascii="宋体" w:hAnsi="宋体" w:eastAsia="宋体" w:cs="宋体"/>
          <w:sz w:val="24"/>
        </w:rPr>
        <w:t>3.5.7 投标人须知前附表规定接受联合体投标的，本章第3.5.1项至第3.5.5项规定的表格和资料应包括联合体各方相关情况。</w:t>
      </w:r>
    </w:p>
    <w:p>
      <w:pPr>
        <w:spacing w:before="10" w:line="400" w:lineRule="exact"/>
        <w:ind w:firstLine="480" w:firstLineChars="200"/>
        <w:rPr>
          <w:rFonts w:hint="eastAsia" w:ascii="宋体" w:hAnsi="宋体" w:eastAsia="宋体" w:cs="宋体"/>
          <w:sz w:val="24"/>
        </w:rPr>
      </w:pPr>
      <w:r>
        <w:rPr>
          <w:rFonts w:hint="eastAsia" w:ascii="宋体" w:hAnsi="宋体" w:eastAsia="宋体" w:cs="宋体"/>
          <w:sz w:val="24"/>
        </w:rPr>
        <w:t>3.5.8 除合同条款约定的特殊情形外，投标人在投标文件中填报的项目负责人不允许更换。</w:t>
      </w:r>
    </w:p>
    <w:p>
      <w:pPr>
        <w:spacing w:before="10" w:line="400" w:lineRule="exact"/>
        <w:ind w:firstLine="480" w:firstLineChars="200"/>
        <w:rPr>
          <w:rFonts w:hint="eastAsia" w:ascii="宋体" w:hAnsi="宋体" w:eastAsia="宋体" w:cs="宋体"/>
          <w:sz w:val="24"/>
        </w:rPr>
      </w:pPr>
      <w:r>
        <w:rPr>
          <w:rFonts w:hint="eastAsia" w:ascii="宋体" w:hAnsi="宋体" w:eastAsia="宋体" w:cs="宋体"/>
          <w:sz w:val="24"/>
        </w:rPr>
        <w:t>3.5.9 投标人在投标文件中填报的资质、业绩、主要人员资历和目前在岗情况、信用等级等信息，应与其在交通运输主管部门“公路建设市场信用信息管理系统”上填报并发布的相关信息一致。投标人应根据本单位实际情况及时完成相关信息的申报、录入和动态更新，并对相关信息的真实性、完整性和准确性负责。</w:t>
      </w:r>
    </w:p>
    <w:p>
      <w:pPr>
        <w:spacing w:before="10" w:line="400" w:lineRule="exact"/>
        <w:ind w:firstLine="480" w:firstLineChars="200"/>
        <w:rPr>
          <w:rFonts w:hint="eastAsia" w:ascii="宋体" w:hAnsi="宋体" w:eastAsia="宋体" w:cs="宋体"/>
          <w:sz w:val="24"/>
        </w:rPr>
      </w:pPr>
      <w:r>
        <w:rPr>
          <w:rFonts w:hint="eastAsia" w:ascii="宋体" w:hAnsi="宋体" w:eastAsia="宋体" w:cs="宋体"/>
          <w:sz w:val="24"/>
        </w:rPr>
        <w:t>3.5.10 招标人有权核查投标人在投标文件中提供的资料，若在评标期间发现投标人提供了虚假资料，其投标将被否决；若在签订合同前发现作为中标候选人的投标人提供了虚假资料，招标人有权取消其中标资格；若在合同实施期间发现投标人提供了虚假资料，招标人有权从合同价款或履约保证金中扣除不超过5％签约合同价的金额作为违约金。同时招标人将投标人上述弄虚作假行为上报省级交通运输主管部门，作为不良记录纳入公路建设市场信用信息管理系统。</w:t>
      </w:r>
    </w:p>
    <w:p>
      <w:pPr>
        <w:pStyle w:val="3"/>
        <w:spacing w:before="10" w:after="0" w:line="400" w:lineRule="exact"/>
        <w:rPr>
          <w:rFonts w:hint="eastAsia" w:ascii="宋体" w:hAnsi="宋体" w:eastAsia="宋体" w:cs="宋体"/>
          <w:b w:val="0"/>
          <w:sz w:val="24"/>
          <w:szCs w:val="24"/>
        </w:rPr>
      </w:pPr>
      <w:bookmarkStart w:id="148" w:name="_Toc509993843"/>
      <w:bookmarkStart w:id="149" w:name="_Toc234832895"/>
      <w:bookmarkStart w:id="150" w:name="_Toc12488"/>
      <w:r>
        <w:rPr>
          <w:rFonts w:hint="eastAsia" w:ascii="宋体" w:hAnsi="宋体" w:eastAsia="宋体" w:cs="宋体"/>
          <w:b w:val="0"/>
          <w:sz w:val="24"/>
          <w:szCs w:val="24"/>
        </w:rPr>
        <w:t>3.6 备选投标方案</w:t>
      </w:r>
      <w:bookmarkEnd w:id="148"/>
      <w:bookmarkEnd w:id="149"/>
      <w:bookmarkEnd w:id="150"/>
    </w:p>
    <w:p>
      <w:pPr>
        <w:spacing w:before="10" w:line="400" w:lineRule="exact"/>
        <w:ind w:firstLine="480" w:firstLineChars="200"/>
        <w:rPr>
          <w:rFonts w:hint="eastAsia" w:ascii="宋体" w:hAnsi="宋体" w:eastAsia="宋体" w:cs="宋体"/>
          <w:sz w:val="24"/>
        </w:rPr>
      </w:pPr>
      <w:r>
        <w:rPr>
          <w:rFonts w:hint="eastAsia" w:ascii="宋体" w:hAnsi="宋体" w:eastAsia="宋体" w:cs="宋体"/>
          <w:sz w:val="24"/>
        </w:rPr>
        <w:t>3.6.1 除投标人须知前附表规定允许外，投标人不得递交备选投标方案，否则其投标将被否决。</w:t>
      </w:r>
    </w:p>
    <w:p>
      <w:pPr>
        <w:spacing w:before="10" w:line="400" w:lineRule="exact"/>
        <w:ind w:firstLine="480" w:firstLineChars="200"/>
        <w:rPr>
          <w:rFonts w:hint="eastAsia" w:ascii="宋体" w:hAnsi="宋体" w:eastAsia="宋体" w:cs="宋体"/>
          <w:sz w:val="24"/>
        </w:rPr>
      </w:pPr>
      <w:r>
        <w:rPr>
          <w:rFonts w:hint="eastAsia" w:ascii="宋体" w:hAnsi="宋体" w:eastAsia="宋体" w:cs="宋体"/>
          <w:sz w:val="24"/>
        </w:rPr>
        <w:t>3.6.2 允许</w:t>
      </w:r>
      <w:r>
        <w:rPr>
          <w:rFonts w:hint="eastAsia" w:ascii="宋体" w:hAnsi="宋体" w:eastAsia="宋体" w:cs="宋体"/>
          <w:sz w:val="24"/>
        </w:rPr>
        <w:t>投标人递交备选投标方案的，只有中标人所递交的备选投标方案方可予以考虑。评标委员会认为中标人的备选投标方案优于其按照招标文件要求编制的投标方案的，招标人可以接受该备选投标方案。</w:t>
      </w:r>
    </w:p>
    <w:p>
      <w:pPr>
        <w:spacing w:before="10" w:line="400" w:lineRule="exact"/>
        <w:ind w:firstLine="480" w:firstLineChars="200"/>
        <w:rPr>
          <w:rFonts w:hint="eastAsia" w:ascii="宋体" w:hAnsi="宋体" w:eastAsia="宋体" w:cs="宋体"/>
          <w:sz w:val="24"/>
        </w:rPr>
      </w:pPr>
      <w:r>
        <w:rPr>
          <w:rFonts w:hint="eastAsia" w:ascii="宋体" w:hAnsi="宋体" w:eastAsia="宋体" w:cs="宋体"/>
          <w:sz w:val="24"/>
        </w:rPr>
        <w:t>3.6.3 投标人提供两个或两个以上投标报价，或在投标文件中提供一个报价，但同时提供两个或两个以上</w:t>
      </w:r>
      <w:bookmarkStart w:id="151" w:name="_Toc144974518"/>
      <w:bookmarkStart w:id="152" w:name="_Toc361508607"/>
      <w:bookmarkStart w:id="153" w:name="_Toc247527575"/>
      <w:bookmarkStart w:id="154" w:name="_Toc300834971"/>
      <w:bookmarkStart w:id="155" w:name="_Toc352691495"/>
      <w:bookmarkStart w:id="156" w:name="_Toc29902"/>
      <w:bookmarkStart w:id="157" w:name="_Toc247513974"/>
      <w:bookmarkStart w:id="158" w:name="_Toc152042326"/>
      <w:bookmarkStart w:id="159" w:name="_Toc152045550"/>
      <w:bookmarkStart w:id="160" w:name="_Toc384308232"/>
      <w:bookmarkStart w:id="161" w:name="_Toc369531538"/>
      <w:r>
        <w:rPr>
          <w:rFonts w:hint="eastAsia" w:ascii="宋体" w:hAnsi="宋体" w:eastAsia="宋体" w:cs="宋体"/>
          <w:sz w:val="24"/>
        </w:rPr>
        <w:t>技术建议书的</w:t>
      </w:r>
      <w:bookmarkEnd w:id="151"/>
      <w:bookmarkEnd w:id="152"/>
      <w:bookmarkEnd w:id="153"/>
      <w:bookmarkEnd w:id="154"/>
      <w:bookmarkEnd w:id="155"/>
      <w:bookmarkEnd w:id="156"/>
      <w:bookmarkEnd w:id="157"/>
      <w:bookmarkEnd w:id="158"/>
      <w:bookmarkEnd w:id="159"/>
      <w:bookmarkEnd w:id="160"/>
      <w:bookmarkEnd w:id="161"/>
      <w:r>
        <w:rPr>
          <w:rFonts w:hint="eastAsia" w:ascii="宋体" w:hAnsi="宋体" w:eastAsia="宋体" w:cs="宋体"/>
          <w:sz w:val="24"/>
        </w:rPr>
        <w:t>，视为提供备选方案。</w:t>
      </w:r>
    </w:p>
    <w:p>
      <w:pPr>
        <w:pStyle w:val="3"/>
        <w:spacing w:before="10" w:after="0" w:line="400" w:lineRule="exact"/>
        <w:rPr>
          <w:rFonts w:hint="eastAsia" w:ascii="宋体" w:hAnsi="宋体" w:eastAsia="宋体" w:cs="宋体"/>
          <w:b w:val="0"/>
          <w:color w:val="auto"/>
          <w:sz w:val="24"/>
          <w:szCs w:val="24"/>
          <w:highlight w:val="none"/>
        </w:rPr>
      </w:pPr>
      <w:bookmarkStart w:id="162" w:name="_Toc234832896"/>
      <w:bookmarkStart w:id="163" w:name="_Toc509993844"/>
      <w:bookmarkStart w:id="164" w:name="_Toc2219"/>
      <w:r>
        <w:rPr>
          <w:rFonts w:hint="eastAsia" w:ascii="宋体" w:hAnsi="宋体" w:eastAsia="宋体" w:cs="宋体"/>
          <w:b w:val="0"/>
          <w:sz w:val="24"/>
          <w:szCs w:val="24"/>
        </w:rPr>
        <w:t>3</w:t>
      </w:r>
      <w:r>
        <w:rPr>
          <w:rFonts w:hint="eastAsia" w:ascii="宋体" w:hAnsi="宋体" w:eastAsia="宋体" w:cs="宋体"/>
          <w:b w:val="0"/>
          <w:bCs w:val="0"/>
          <w:kern w:val="2"/>
          <w:sz w:val="24"/>
          <w:szCs w:val="24"/>
          <w:lang w:val="en-US" w:eastAsia="zh-CN" w:bidi="ar-SA"/>
        </w:rPr>
        <w:t xml:space="preserve">.7 </w:t>
      </w:r>
      <w:bookmarkEnd w:id="162"/>
      <w:bookmarkEnd w:id="163"/>
      <w:bookmarkEnd w:id="164"/>
      <w:r>
        <w:rPr>
          <w:rFonts w:hint="eastAsia" w:ascii="宋体" w:hAnsi="宋体" w:eastAsia="宋体" w:cs="宋体"/>
          <w:b w:val="0"/>
          <w:bCs w:val="0"/>
          <w:kern w:val="2"/>
          <w:sz w:val="24"/>
          <w:szCs w:val="24"/>
          <w:lang w:val="en-US" w:eastAsia="zh-CN" w:bidi="ar-SA"/>
        </w:rPr>
        <w:t xml:space="preserve"> 投标文件的编制</w:t>
      </w:r>
    </w:p>
    <w:p>
      <w:pPr>
        <w:spacing w:before="10"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3.7.1 投标文件应按第六章“投标文件格式”进行编写，如有必要，可以增加附页，作为投标文件的组成部分。</w:t>
      </w:r>
    </w:p>
    <w:p>
      <w:pPr>
        <w:spacing w:before="10"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3.7.2 投标文件应对招标文件有关勘察设计服务期限、投标有效期、质量要求、安全目标、发包人要求、招标范围等实质性内容作出响应。</w:t>
      </w:r>
    </w:p>
    <w:p>
      <w:pPr>
        <w:spacing w:before="10"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3.7.3 投标文件应用不褪色的材料书写或打印。投标文件格式中明确要求投标人法定代表人或其委托代理人签字之处，必须由相关人员亲笔签名，不得使用印章、签名章或其他电子制版签名代替；明确要求投标人加盖单位章之处，必须加盖单位章。其中，投标函及对投标文件的澄清和说明应加盖投标人单位章，或由投标人的法定代表人或其委托代理人签字。</w:t>
      </w:r>
    </w:p>
    <w:p>
      <w:pPr>
        <w:spacing w:before="10"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如果投标文件由委托代理人签署，则投标人须提交授权委托书，授权委托书应按第六章“投标文件格式”的要求出具，并由法定代表人和委托代理人亲笔签名，不得使用印章、签名章或其他电子制版签名代替。</w:t>
      </w:r>
    </w:p>
    <w:p>
      <w:pPr>
        <w:spacing w:before="10"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如果由投标人的法定代表人亲自签署投标文件，则投标人须提交法定代表人身份证明，身份证明应符合第六章“投标文件格式”的要求。</w:t>
      </w:r>
    </w:p>
    <w:p>
      <w:pPr>
        <w:spacing w:before="10"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以联合体形式参与投标的，投标文件由联合体牵头人的法定代表人或其委托代理人按上述规定签署并加盖联合体牵头人单位章。法定代表人授权委托书或法定代表人身份证明须由联合体牵头人按上述规定出具。</w:t>
      </w:r>
    </w:p>
    <w:p>
      <w:pPr>
        <w:spacing w:before="10"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投标文件应尽量避免涂改、行间插字或删除。如果出现上述情况，改动之处应由投标人的法定代表人或其授权的代理人签字或盖单位章。</w:t>
      </w:r>
    </w:p>
    <w:p>
      <w:pPr>
        <w:spacing w:before="10"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3.7.4 投标文件正本一份, 副本份数见投标人须知前附表。正本和副本的封面右上角上应清楚地标记“正本”或“副本”字样。投标人应根据投标人须知前附表要求提供电子版文件。当副本和正本不一致或电子版文件和纸质正本文件不一致时，以纸质正本文件为准。</w:t>
      </w:r>
    </w:p>
    <w:p>
      <w:pPr>
        <w:spacing w:before="10" w:line="400" w:lineRule="exact"/>
        <w:ind w:firstLine="480" w:firstLineChars="200"/>
        <w:rPr>
          <w:rFonts w:hint="eastAsia" w:ascii="宋体" w:hAnsi="宋体" w:eastAsia="宋体" w:cs="宋体"/>
          <w:sz w:val="24"/>
        </w:rPr>
      </w:pPr>
      <w:r>
        <w:rPr>
          <w:rFonts w:hint="eastAsia" w:ascii="宋体" w:hAnsi="宋体" w:eastAsia="宋体" w:cs="宋体"/>
          <w:color w:val="auto"/>
          <w:sz w:val="24"/>
          <w:highlight w:val="none"/>
        </w:rPr>
        <w:t>3.7.5 投标文件的正本与副</w:t>
      </w:r>
      <w:bookmarkStart w:id="348" w:name="_GoBack"/>
      <w:bookmarkEnd w:id="348"/>
      <w:r>
        <w:rPr>
          <w:rFonts w:hint="eastAsia" w:ascii="宋体" w:hAnsi="宋体" w:eastAsia="宋体" w:cs="宋体"/>
          <w:color w:val="auto"/>
          <w:sz w:val="24"/>
          <w:highlight w:val="none"/>
        </w:rPr>
        <w:t>本应分别装订成册（A4纸幅，其中技术建议书采用标准图框A3幅面，单独装订成册），编制目录并逐页标注连续页码。投标文件不得采用活页夹装订，否则，招标人对由于投标文件装订松散而造成的丢失或其他后果不承担任何责任。装订的其他要求见投标人须知前附表。</w:t>
      </w:r>
    </w:p>
    <w:p>
      <w:pPr>
        <w:pStyle w:val="3"/>
        <w:spacing w:before="10" w:after="0" w:line="400" w:lineRule="exact"/>
        <w:rPr>
          <w:rFonts w:hint="eastAsia" w:ascii="宋体" w:hAnsi="宋体" w:eastAsia="宋体" w:cs="宋体"/>
          <w:b w:val="0"/>
          <w:sz w:val="24"/>
          <w:szCs w:val="24"/>
        </w:rPr>
      </w:pPr>
      <w:bookmarkStart w:id="165" w:name="_Toc7256_WPSOffice_Level2"/>
      <w:bookmarkStart w:id="166" w:name="_Toc234832897"/>
      <w:bookmarkStart w:id="167" w:name="_Toc5261"/>
      <w:bookmarkStart w:id="168" w:name="_Toc11484_WPSOffice_Level2"/>
      <w:bookmarkStart w:id="169" w:name="_Toc17580_WPSOffice_Level2"/>
      <w:bookmarkStart w:id="170" w:name="_Toc509993845"/>
      <w:r>
        <w:rPr>
          <w:rFonts w:hint="eastAsia" w:ascii="宋体" w:hAnsi="宋体" w:eastAsia="宋体" w:cs="宋体"/>
          <w:b w:val="0"/>
          <w:sz w:val="24"/>
          <w:szCs w:val="24"/>
        </w:rPr>
        <w:t>4. 投标</w:t>
      </w:r>
      <w:bookmarkEnd w:id="165"/>
      <w:bookmarkEnd w:id="166"/>
      <w:bookmarkEnd w:id="167"/>
      <w:bookmarkEnd w:id="168"/>
      <w:bookmarkEnd w:id="169"/>
      <w:bookmarkEnd w:id="170"/>
      <w:r>
        <w:rPr>
          <w:rFonts w:hint="eastAsia" w:ascii="宋体" w:hAnsi="宋体" w:eastAsia="宋体" w:cs="宋体"/>
          <w:b w:val="0"/>
          <w:sz w:val="24"/>
          <w:szCs w:val="24"/>
        </w:rPr>
        <w:tab/>
      </w:r>
    </w:p>
    <w:p>
      <w:pPr>
        <w:pStyle w:val="3"/>
        <w:spacing w:before="10" w:after="0" w:line="400" w:lineRule="exact"/>
        <w:rPr>
          <w:rFonts w:hint="eastAsia" w:ascii="宋体" w:hAnsi="宋体" w:eastAsia="宋体" w:cs="宋体"/>
          <w:b w:val="0"/>
          <w:sz w:val="24"/>
          <w:szCs w:val="24"/>
        </w:rPr>
      </w:pPr>
      <w:bookmarkStart w:id="171" w:name="_Toc24123"/>
      <w:bookmarkStart w:id="172" w:name="_Toc509993846"/>
      <w:bookmarkStart w:id="173" w:name="_Toc234832898"/>
      <w:r>
        <w:rPr>
          <w:rFonts w:hint="eastAsia" w:ascii="宋体" w:hAnsi="宋体" w:eastAsia="宋体" w:cs="宋体"/>
          <w:b w:val="0"/>
          <w:sz w:val="24"/>
          <w:szCs w:val="24"/>
        </w:rPr>
        <w:t>4.1 投标文件的密封和标识</w:t>
      </w:r>
      <w:bookmarkEnd w:id="171"/>
      <w:bookmarkEnd w:id="172"/>
      <w:bookmarkEnd w:id="173"/>
    </w:p>
    <w:p>
      <w:pPr>
        <w:spacing w:before="10" w:line="400" w:lineRule="exact"/>
        <w:ind w:firstLine="480" w:firstLineChars="200"/>
        <w:rPr>
          <w:rFonts w:hint="eastAsia" w:ascii="宋体" w:hAnsi="宋体" w:eastAsia="宋体" w:cs="宋体"/>
          <w:sz w:val="24"/>
        </w:rPr>
      </w:pPr>
      <w:r>
        <w:rPr>
          <w:rFonts w:hint="eastAsia" w:ascii="宋体" w:hAnsi="宋体" w:eastAsia="宋体" w:cs="宋体"/>
          <w:sz w:val="24"/>
        </w:rPr>
        <w:t>4.1.1 投标文件应采用双信封形式密封。投标文件第一个信封（商务及技术文件）以及第二个信封（报价文件）应单独密封包装。商务文件、技术文件的正本与副本应统一密封在一个封套中。报价文件的正本与副本以及投标文件电子版文件（如需要）应统一密封在另一个封套中。封套应加贴封条，并在封套的封口处加盖投标人单位章或由投标人的法定代表人或其委托代理人签字。</w:t>
      </w:r>
    </w:p>
    <w:p>
      <w:pPr>
        <w:spacing w:before="10" w:line="400" w:lineRule="exact"/>
        <w:ind w:firstLine="480" w:firstLineChars="200"/>
        <w:rPr>
          <w:rFonts w:hint="eastAsia" w:ascii="宋体" w:hAnsi="宋体" w:eastAsia="宋体" w:cs="宋体"/>
          <w:sz w:val="24"/>
        </w:rPr>
      </w:pPr>
      <w:r>
        <w:rPr>
          <w:rFonts w:hint="eastAsia" w:ascii="宋体" w:hAnsi="宋体" w:eastAsia="宋体" w:cs="宋体"/>
          <w:sz w:val="24"/>
        </w:rPr>
        <w:t>采用银行保函形式提交投标保证金的，银行保函原件应密封在单独的封套中。</w:t>
      </w:r>
    </w:p>
    <w:p>
      <w:pPr>
        <w:spacing w:before="10" w:line="400" w:lineRule="exact"/>
        <w:ind w:firstLine="480" w:firstLineChars="200"/>
        <w:rPr>
          <w:rFonts w:hint="eastAsia" w:ascii="宋体" w:hAnsi="宋体" w:eastAsia="宋体" w:cs="宋体"/>
          <w:sz w:val="24"/>
        </w:rPr>
      </w:pPr>
      <w:r>
        <w:rPr>
          <w:rFonts w:hint="eastAsia" w:ascii="宋体" w:hAnsi="宋体" w:eastAsia="宋体" w:cs="宋体"/>
          <w:sz w:val="24"/>
        </w:rPr>
        <w:t>4.1.2 投标文件第一个信封（商务及技术文件）、第二个信封（报价文件）以及银行保函封套上应写明的内容见投标人须知前附表。</w:t>
      </w:r>
    </w:p>
    <w:p>
      <w:pPr>
        <w:spacing w:before="10" w:line="400" w:lineRule="exact"/>
        <w:ind w:firstLine="480" w:firstLineChars="200"/>
        <w:rPr>
          <w:rFonts w:hint="eastAsia" w:ascii="宋体" w:hAnsi="宋体" w:eastAsia="宋体" w:cs="宋体"/>
          <w:sz w:val="24"/>
        </w:rPr>
      </w:pPr>
      <w:r>
        <w:rPr>
          <w:rFonts w:hint="eastAsia" w:ascii="宋体" w:hAnsi="宋体" w:eastAsia="宋体" w:cs="宋体"/>
          <w:sz w:val="24"/>
        </w:rPr>
        <w:t>4.1.3 未按本章第4.1.1项要求密封的投标文件，招标人将予以拒收。</w:t>
      </w:r>
    </w:p>
    <w:p>
      <w:pPr>
        <w:pStyle w:val="3"/>
        <w:spacing w:before="10" w:after="0" w:line="400" w:lineRule="exact"/>
        <w:rPr>
          <w:rFonts w:hint="eastAsia" w:ascii="宋体" w:hAnsi="宋体" w:eastAsia="宋体" w:cs="宋体"/>
          <w:b w:val="0"/>
          <w:sz w:val="24"/>
          <w:szCs w:val="24"/>
        </w:rPr>
      </w:pPr>
      <w:bookmarkStart w:id="174" w:name="_Toc354"/>
      <w:bookmarkStart w:id="175" w:name="_Toc509993847"/>
      <w:bookmarkStart w:id="176" w:name="_Toc234832899"/>
      <w:r>
        <w:rPr>
          <w:rFonts w:hint="eastAsia" w:ascii="宋体" w:hAnsi="宋体" w:eastAsia="宋体" w:cs="宋体"/>
          <w:b w:val="0"/>
          <w:sz w:val="24"/>
          <w:szCs w:val="24"/>
        </w:rPr>
        <w:t>4.2</w:t>
      </w:r>
      <w:r>
        <w:rPr>
          <w:rFonts w:hint="eastAsia" w:ascii="宋体" w:hAnsi="宋体" w:eastAsia="宋体" w:cs="宋体"/>
          <w:b w:val="0"/>
          <w:sz w:val="24"/>
          <w:szCs w:val="24"/>
        </w:rPr>
        <w:tab/>
      </w:r>
      <w:r>
        <w:rPr>
          <w:rFonts w:hint="eastAsia" w:ascii="宋体" w:hAnsi="宋体" w:eastAsia="宋体" w:cs="宋体"/>
          <w:b w:val="0"/>
          <w:sz w:val="24"/>
          <w:szCs w:val="24"/>
        </w:rPr>
        <w:t xml:space="preserve"> 投标文件的递交</w:t>
      </w:r>
      <w:bookmarkEnd w:id="174"/>
      <w:bookmarkEnd w:id="175"/>
      <w:bookmarkEnd w:id="176"/>
    </w:p>
    <w:p>
      <w:pPr>
        <w:spacing w:before="10" w:line="400" w:lineRule="exact"/>
        <w:ind w:firstLine="480" w:firstLineChars="200"/>
        <w:rPr>
          <w:rFonts w:hint="eastAsia" w:ascii="宋体" w:hAnsi="宋体" w:eastAsia="宋体" w:cs="宋体"/>
          <w:sz w:val="24"/>
        </w:rPr>
      </w:pPr>
      <w:r>
        <w:rPr>
          <w:rFonts w:hint="eastAsia" w:ascii="宋体" w:hAnsi="宋体" w:eastAsia="宋体" w:cs="宋体"/>
          <w:sz w:val="24"/>
        </w:rPr>
        <w:t>4.2.1 投标人应在第一章“招标公告”或“投标邀请书”规定的投标截止时间前递交投标文件。</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4.2.2 投标人递交投标文件的地点：见第一章“招标公告”或“投标邀请书”。</w:t>
      </w:r>
    </w:p>
    <w:p>
      <w:pPr>
        <w:spacing w:before="10" w:line="400" w:lineRule="exact"/>
        <w:ind w:firstLine="480" w:firstLineChars="200"/>
        <w:rPr>
          <w:rFonts w:hint="eastAsia" w:ascii="新宋体" w:hAnsi="新宋体" w:eastAsia="新宋体" w:cs="新宋体"/>
          <w:sz w:val="24"/>
        </w:rPr>
      </w:pPr>
      <w:r>
        <w:rPr>
          <w:rFonts w:hint="eastAsia" w:ascii="新宋体" w:hAnsi="新宋体" w:eastAsia="新宋体" w:cs="新宋体"/>
          <w:sz w:val="24"/>
        </w:rPr>
        <w:t>4.2.3 除投标人须知前附表另有规定外，投标人所递交的投标文件不予退还。投标人少于3个的，投标文件当场退还给投标人。</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4.2.4 逾期送达的或未送达指定地点的投标文件，招标人将予以拒收。</w:t>
      </w:r>
    </w:p>
    <w:p>
      <w:pPr>
        <w:pStyle w:val="3"/>
        <w:spacing w:before="10" w:after="0" w:line="400" w:lineRule="exact"/>
        <w:rPr>
          <w:rFonts w:ascii="新宋体" w:hAnsi="新宋体" w:eastAsia="新宋体" w:cs="新宋体"/>
          <w:b w:val="0"/>
          <w:sz w:val="24"/>
          <w:szCs w:val="24"/>
        </w:rPr>
      </w:pPr>
      <w:bookmarkStart w:id="177" w:name="_Toc234832900"/>
      <w:bookmarkStart w:id="178" w:name="_Toc509993848"/>
      <w:bookmarkStart w:id="179" w:name="_Toc32453"/>
      <w:r>
        <w:rPr>
          <w:rFonts w:hint="eastAsia" w:ascii="新宋体" w:hAnsi="新宋体" w:eastAsia="新宋体" w:cs="新宋体"/>
          <w:b w:val="0"/>
          <w:sz w:val="24"/>
          <w:szCs w:val="24"/>
        </w:rPr>
        <w:t>4.3 投标文件的修改与撤回</w:t>
      </w:r>
      <w:bookmarkEnd w:id="177"/>
      <w:bookmarkEnd w:id="178"/>
      <w:bookmarkEnd w:id="179"/>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4.3.1 在本章第4.2.1项规定的投标截止时间前，投标人可以修改或撤回已递交的投标文件，但应以书面形式通知招标人。</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4.3.2 投标人修改或撤回已递交投标文件的书面通知应按照本章第3.7.3项的要求签字或盖章。</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4.3.3 投标人撤回投标文件的，招标人自收到投标人书面撤回通知之日起5日内退还已收取的投标保证金。</w:t>
      </w:r>
    </w:p>
    <w:p>
      <w:pPr>
        <w:pStyle w:val="3"/>
        <w:spacing w:before="10" w:after="0" w:line="400" w:lineRule="exact"/>
        <w:rPr>
          <w:rFonts w:ascii="新宋体" w:hAnsi="新宋体" w:eastAsia="新宋体" w:cs="新宋体"/>
          <w:b w:val="0"/>
          <w:sz w:val="24"/>
          <w:szCs w:val="24"/>
        </w:rPr>
      </w:pPr>
      <w:bookmarkStart w:id="180" w:name="_Toc509993849"/>
      <w:bookmarkStart w:id="181" w:name="_Toc14862_WPSOffice_Level2"/>
      <w:bookmarkStart w:id="182" w:name="_Toc3338_WPSOffice_Level2"/>
      <w:bookmarkStart w:id="183" w:name="_Toc234832901"/>
      <w:bookmarkStart w:id="184" w:name="_Toc23496"/>
      <w:bookmarkStart w:id="185" w:name="_Toc15503_WPSOffice_Level2"/>
      <w:r>
        <w:rPr>
          <w:rFonts w:hint="eastAsia" w:ascii="新宋体" w:hAnsi="新宋体" w:eastAsia="新宋体" w:cs="新宋体"/>
          <w:b w:val="0"/>
          <w:sz w:val="24"/>
          <w:szCs w:val="24"/>
        </w:rPr>
        <w:t>5. 开标</w:t>
      </w:r>
      <w:bookmarkEnd w:id="180"/>
      <w:bookmarkEnd w:id="181"/>
      <w:bookmarkEnd w:id="182"/>
      <w:bookmarkEnd w:id="183"/>
      <w:bookmarkEnd w:id="184"/>
      <w:bookmarkEnd w:id="185"/>
    </w:p>
    <w:p>
      <w:pPr>
        <w:pStyle w:val="3"/>
        <w:spacing w:before="10" w:after="0" w:line="400" w:lineRule="exact"/>
        <w:rPr>
          <w:rFonts w:ascii="新宋体" w:hAnsi="新宋体" w:eastAsia="新宋体" w:cs="新宋体"/>
          <w:b w:val="0"/>
          <w:sz w:val="24"/>
          <w:szCs w:val="24"/>
        </w:rPr>
      </w:pPr>
      <w:bookmarkStart w:id="186" w:name="_Toc26667"/>
      <w:bookmarkStart w:id="187" w:name="_Toc509993850"/>
      <w:bookmarkStart w:id="188" w:name="_Toc234832902"/>
      <w:r>
        <w:rPr>
          <w:rFonts w:hint="eastAsia" w:ascii="新宋体" w:hAnsi="新宋体" w:eastAsia="新宋体" w:cs="新宋体"/>
          <w:b w:val="0"/>
          <w:sz w:val="24"/>
          <w:szCs w:val="24"/>
        </w:rPr>
        <w:t>5.1 开标时间和地点</w:t>
      </w:r>
      <w:bookmarkEnd w:id="186"/>
      <w:bookmarkEnd w:id="187"/>
    </w:p>
    <w:p>
      <w:pPr>
        <w:spacing w:before="10" w:line="400" w:lineRule="exact"/>
        <w:ind w:firstLine="480" w:firstLineChars="200"/>
        <w:rPr>
          <w:rFonts w:hint="eastAsia" w:ascii="宋体" w:hAnsi="宋体" w:eastAsia="宋体" w:cs="宋体"/>
          <w:sz w:val="24"/>
        </w:rPr>
      </w:pPr>
      <w:r>
        <w:rPr>
          <w:rFonts w:hint="eastAsia" w:ascii="新宋体" w:hAnsi="新宋体" w:eastAsia="新宋体" w:cs="新宋体"/>
          <w:sz w:val="24"/>
        </w:rPr>
        <w:t>招标人在本章第4.2.1项规定的投标截止时间（开标时间）和投标人须知前附表规定的地点对收到的投标文件第一个信封（商务及技术文件）公开开标，并邀请所有投标</w:t>
      </w:r>
      <w:r>
        <w:rPr>
          <w:rFonts w:hint="eastAsia" w:ascii="宋体" w:hAnsi="宋体" w:eastAsia="宋体" w:cs="宋体"/>
          <w:sz w:val="24"/>
        </w:rPr>
        <w:t>人的法定代表人或其委托代理人准时参加。</w:t>
      </w:r>
    </w:p>
    <w:p>
      <w:pPr>
        <w:spacing w:before="10" w:line="400" w:lineRule="exact"/>
        <w:ind w:firstLine="480" w:firstLineChars="200"/>
        <w:rPr>
          <w:rFonts w:hint="eastAsia" w:ascii="宋体" w:hAnsi="宋体" w:eastAsia="宋体" w:cs="宋体"/>
          <w:sz w:val="24"/>
        </w:rPr>
      </w:pPr>
      <w:r>
        <w:rPr>
          <w:rFonts w:hint="eastAsia" w:ascii="宋体" w:hAnsi="宋体" w:eastAsia="宋体" w:cs="宋体"/>
          <w:sz w:val="24"/>
        </w:rPr>
        <w:t>招标人在投标人须知前附表规定的时间和地点对投标文件第二个信封（报价文件）公开开标，并邀请所有投标人的法定代表人或其委托代理人准时参加。</w:t>
      </w:r>
    </w:p>
    <w:p>
      <w:pPr>
        <w:spacing w:before="10" w:line="400" w:lineRule="exact"/>
        <w:ind w:firstLine="480" w:firstLineChars="200"/>
        <w:rPr>
          <w:rFonts w:hint="eastAsia" w:ascii="宋体" w:hAnsi="宋体" w:eastAsia="宋体" w:cs="宋体"/>
          <w:sz w:val="24"/>
        </w:rPr>
      </w:pPr>
      <w:r>
        <w:rPr>
          <w:rFonts w:hint="eastAsia" w:ascii="宋体" w:hAnsi="宋体" w:eastAsia="宋体" w:cs="宋体"/>
          <w:sz w:val="24"/>
        </w:rPr>
        <w:t>投标人若未派法定代表人或委托代理人出席开标活动，视为该投标人默认开标结果。</w:t>
      </w:r>
    </w:p>
    <w:bookmarkEnd w:id="188"/>
    <w:p>
      <w:pPr>
        <w:pStyle w:val="3"/>
        <w:spacing w:before="10" w:after="0" w:line="400" w:lineRule="exact"/>
        <w:rPr>
          <w:rFonts w:hint="eastAsia" w:ascii="宋体" w:hAnsi="宋体" w:eastAsia="宋体" w:cs="宋体"/>
          <w:b w:val="0"/>
          <w:sz w:val="24"/>
          <w:szCs w:val="24"/>
        </w:rPr>
      </w:pPr>
      <w:bookmarkStart w:id="189" w:name="_Toc234832905"/>
      <w:bookmarkStart w:id="190" w:name="_Toc12269"/>
      <w:bookmarkStart w:id="191" w:name="_Toc509993851"/>
      <w:r>
        <w:rPr>
          <w:rFonts w:hint="eastAsia" w:ascii="宋体" w:hAnsi="宋体" w:eastAsia="宋体" w:cs="宋体"/>
          <w:b w:val="0"/>
          <w:sz w:val="24"/>
          <w:szCs w:val="24"/>
        </w:rPr>
        <w:t>5.2 开标程序</w:t>
      </w:r>
      <w:bookmarkEnd w:id="189"/>
      <w:bookmarkEnd w:id="190"/>
      <w:bookmarkEnd w:id="191"/>
    </w:p>
    <w:p>
      <w:pPr>
        <w:spacing w:before="10"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5.2.1 主持人按下列程序对投标文件第一个信封（商务及技术文件）进行开标：</w:t>
      </w:r>
    </w:p>
    <w:p>
      <w:pPr>
        <w:spacing w:before="10"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（1）宣布开标纪律；</w:t>
      </w:r>
    </w:p>
    <w:p>
      <w:pPr>
        <w:spacing w:before="10"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（2）公布在投标截止时间前递交投标文件的投标人数量；</w:t>
      </w:r>
    </w:p>
    <w:p>
      <w:pPr>
        <w:spacing w:before="10"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（3）宣布开标人、唱标人、记录人等有关人员姓名；</w:t>
      </w:r>
    </w:p>
    <w:p>
      <w:pPr>
        <w:spacing w:before="10"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（4）按照投标人须知前附表规定由投标人推选的代表检查投标文件的密封情况；</w:t>
      </w:r>
    </w:p>
    <w:p>
      <w:pPr>
        <w:spacing w:before="10"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（5）按照投标人须知前附表规定的开标顺序当众开标，公布标段名称、投标人名称、投标保证金的递交情况、勘察设计服务期限及其他内容，并记录在案；</w:t>
      </w:r>
    </w:p>
    <w:p>
      <w:pPr>
        <w:spacing w:before="10"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（6）投标人代表、招标人代表、记录人等有关人员在开标记录上签字确认；</w:t>
      </w:r>
    </w:p>
    <w:p>
      <w:pPr>
        <w:spacing w:before="10"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（7）开标结束。</w:t>
      </w:r>
    </w:p>
    <w:p>
      <w:pPr>
        <w:spacing w:before="10"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5.2.2 在投标文件第一个信封（商务及技术文件）开标现场，投标文件第二个信封（报价文件）不予开封，由招标人密封保存。</w:t>
      </w:r>
    </w:p>
    <w:p>
      <w:pPr>
        <w:spacing w:before="10"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5.2.3 招标人将按照本章第5.1款规定的时间和地点对投标文件第二个信封（报价文件）进行开标。主持人按下列程序进行开标：</w:t>
      </w:r>
    </w:p>
    <w:p>
      <w:pPr>
        <w:spacing w:before="10"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（1）宣布开标纪律；</w:t>
      </w:r>
    </w:p>
    <w:p>
      <w:pPr>
        <w:spacing w:before="10"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（2）当众拆开投标文件第一个信封（商务及技术文件）评审结果的密封袋，宣布通过投标文件第一个信封（商务及技术文件）评审的投标人名单；</w:t>
      </w:r>
    </w:p>
    <w:p>
      <w:pPr>
        <w:spacing w:before="10"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（3）宣布开标人、唱标人、记录人等有关人员姓名；</w:t>
      </w:r>
    </w:p>
    <w:p>
      <w:pPr>
        <w:spacing w:before="10"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（4）按照投标人须知前附表规定由投标人推选的代表检查投标文件的密封情况；</w:t>
      </w:r>
    </w:p>
    <w:p>
      <w:pPr>
        <w:spacing w:before="10"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按照投标人须知前附表规定的开标顺序当众开标，开标人只拆封通过投标文件第一个信封（商务及技术文件）评审的投标文件第二个信封（报价文件），公布标段名称、投标人名称、投标报价及其他内容，并记录在案；</w:t>
      </w:r>
    </w:p>
    <w:p>
      <w:pPr>
        <w:spacing w:before="10"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（6）计算并宣布评标基准价；</w:t>
      </w:r>
    </w:p>
    <w:p>
      <w:pPr>
        <w:spacing w:before="10"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（7）将未通过投标文件第一个信封（商务及技术文件）评审的投标文件第二个信封（报价文件）退还给投标人； </w:t>
      </w:r>
    </w:p>
    <w:p>
      <w:pPr>
        <w:spacing w:before="10"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（8）投标人代表、招标人代表、记录人等有关人员在开标记录上签字确认；</w:t>
      </w:r>
    </w:p>
    <w:p>
      <w:pPr>
        <w:spacing w:before="10"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（9）开标结束。</w:t>
      </w:r>
    </w:p>
    <w:p>
      <w:pPr>
        <w:spacing w:before="10"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5.2.4 在投标文件第二个信封（报价文件）开标现场，招标人将按第三章“评标办法”规定的原则计算并宣布评标基准价。若招标人发现投标文件出现以下任一情况，其投标报价将不再参加评标基准价的计算：</w:t>
      </w:r>
    </w:p>
    <w:p>
      <w:pPr>
        <w:spacing w:before="10"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（1）未在投标函上填写投标总价；</w:t>
      </w:r>
    </w:p>
    <w:p>
      <w:pPr>
        <w:spacing w:before="10"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（2）投标报价超出招标人公布的最高投标限价（如有）；</w:t>
      </w:r>
    </w:p>
    <w:p>
      <w:pPr>
        <w:spacing w:before="10"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（3）投标报价的大写金额无法确定具体数值；</w:t>
      </w:r>
    </w:p>
    <w:p>
      <w:pPr>
        <w:spacing w:before="10"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（4）投标函上填写的标段号与投标文件封套上标记的标段号不一致。</w:t>
      </w:r>
    </w:p>
    <w:p>
      <w:pPr>
        <w:spacing w:before="10"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如果投标人认为某一标段的评标基准价计算有误，有权在开标现场提出，经招标人当场核实确认之后，可重新宣布评标基准价。开标现场宣布的评标基准价除计算有误经评标委员会修正外，在整个评标期间保持不变，不随任何因素发生变化。</w:t>
      </w:r>
    </w:p>
    <w:p>
      <w:pPr>
        <w:spacing w:before="10" w:line="400" w:lineRule="exact"/>
        <w:ind w:firstLine="480" w:firstLineChars="200"/>
        <w:rPr>
          <w:rFonts w:hint="eastAsia" w:ascii="宋体" w:hAnsi="宋体" w:eastAsia="宋体" w:cs="宋体"/>
          <w:sz w:val="24"/>
        </w:rPr>
      </w:pPr>
      <w:r>
        <w:rPr>
          <w:rFonts w:hint="eastAsia" w:ascii="宋体" w:hAnsi="宋体" w:eastAsia="宋体" w:cs="宋体"/>
          <w:color w:val="auto"/>
          <w:sz w:val="24"/>
          <w:highlight w:val="none"/>
        </w:rPr>
        <w:t>5.2.5 在投标文件第一个信封（商务及技术文件）或第二个信封（报价文件）开标过程中，若招标人宣读的内容与投标文件不符，投标人有权在开标现场提出疑问，经招标人当场核查确认之后，可重新宣读其投标文件。若投标人现场未提出疑问，则认为投标人已确认招标人宣读的内容。</w:t>
      </w:r>
    </w:p>
    <w:p>
      <w:pPr>
        <w:pStyle w:val="3"/>
        <w:spacing w:before="10" w:after="0" w:line="400" w:lineRule="exact"/>
        <w:rPr>
          <w:rFonts w:hint="eastAsia" w:ascii="宋体" w:hAnsi="宋体" w:eastAsia="宋体" w:cs="宋体"/>
          <w:b w:val="0"/>
          <w:sz w:val="24"/>
          <w:szCs w:val="24"/>
        </w:rPr>
      </w:pPr>
      <w:bookmarkStart w:id="192" w:name="_Toc19539"/>
      <w:bookmarkStart w:id="193" w:name="_Toc509993852"/>
      <w:r>
        <w:rPr>
          <w:rFonts w:hint="eastAsia" w:ascii="宋体" w:hAnsi="宋体" w:eastAsia="宋体" w:cs="宋体"/>
          <w:b w:val="0"/>
          <w:sz w:val="24"/>
          <w:szCs w:val="24"/>
        </w:rPr>
        <w:t>5.3</w:t>
      </w:r>
      <w:r>
        <w:rPr>
          <w:rFonts w:hint="eastAsia" w:ascii="宋体" w:hAnsi="宋体" w:eastAsia="宋体" w:cs="宋体"/>
          <w:b w:val="0"/>
          <w:sz w:val="24"/>
          <w:szCs w:val="24"/>
        </w:rPr>
        <w:tab/>
      </w:r>
      <w:r>
        <w:rPr>
          <w:rFonts w:hint="eastAsia" w:ascii="宋体" w:hAnsi="宋体" w:eastAsia="宋体" w:cs="宋体"/>
          <w:b w:val="0"/>
          <w:sz w:val="24"/>
          <w:szCs w:val="24"/>
        </w:rPr>
        <w:t xml:space="preserve"> 开标异议</w:t>
      </w:r>
      <w:bookmarkEnd w:id="192"/>
      <w:bookmarkEnd w:id="193"/>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投标人对开标有异议的，应在开标现场提出，招标人当场作出答复，并制作记录，有异议的投标人代表、招标人代表、记录人等有关人员在记录上签字确认。</w:t>
      </w:r>
    </w:p>
    <w:p>
      <w:pPr>
        <w:pStyle w:val="3"/>
        <w:spacing w:before="10" w:after="0" w:line="400" w:lineRule="exact"/>
        <w:rPr>
          <w:rFonts w:ascii="新宋体" w:hAnsi="新宋体" w:eastAsia="新宋体" w:cs="新宋体"/>
          <w:b w:val="0"/>
          <w:sz w:val="24"/>
          <w:szCs w:val="24"/>
        </w:rPr>
      </w:pPr>
      <w:bookmarkStart w:id="194" w:name="_Toc509993853"/>
      <w:bookmarkStart w:id="195" w:name="_Toc11844_WPSOffice_Level2"/>
      <w:bookmarkStart w:id="196" w:name="_Toc15331_WPSOffice_Level2"/>
      <w:bookmarkStart w:id="197" w:name="_Toc11469"/>
      <w:bookmarkStart w:id="198" w:name="_Toc18464_WPSOffice_Level2"/>
      <w:bookmarkStart w:id="199" w:name="_Toc234832906"/>
      <w:r>
        <w:rPr>
          <w:rFonts w:hint="eastAsia" w:ascii="新宋体" w:hAnsi="新宋体" w:eastAsia="新宋体" w:cs="新宋体"/>
          <w:b w:val="0"/>
          <w:sz w:val="24"/>
          <w:szCs w:val="24"/>
        </w:rPr>
        <w:t>6. 评标</w:t>
      </w:r>
      <w:bookmarkEnd w:id="194"/>
      <w:bookmarkEnd w:id="195"/>
      <w:bookmarkEnd w:id="196"/>
      <w:bookmarkEnd w:id="197"/>
      <w:bookmarkEnd w:id="198"/>
      <w:bookmarkEnd w:id="199"/>
    </w:p>
    <w:p>
      <w:pPr>
        <w:pStyle w:val="3"/>
        <w:spacing w:before="10" w:after="0" w:line="400" w:lineRule="exact"/>
        <w:rPr>
          <w:rFonts w:ascii="新宋体" w:hAnsi="新宋体" w:eastAsia="新宋体" w:cs="新宋体"/>
          <w:b w:val="0"/>
          <w:sz w:val="24"/>
          <w:szCs w:val="24"/>
        </w:rPr>
      </w:pPr>
      <w:bookmarkStart w:id="200" w:name="_Toc509993854"/>
      <w:bookmarkStart w:id="201" w:name="_Toc234832907"/>
      <w:bookmarkStart w:id="202" w:name="_Toc30799"/>
      <w:r>
        <w:rPr>
          <w:rFonts w:hint="eastAsia" w:ascii="新宋体" w:hAnsi="新宋体" w:eastAsia="新宋体" w:cs="新宋体"/>
          <w:b w:val="0"/>
          <w:sz w:val="24"/>
          <w:szCs w:val="24"/>
        </w:rPr>
        <w:t>6.1</w:t>
      </w:r>
      <w:r>
        <w:rPr>
          <w:rFonts w:hint="eastAsia" w:ascii="新宋体" w:hAnsi="新宋体" w:eastAsia="新宋体" w:cs="新宋体"/>
          <w:b w:val="0"/>
          <w:sz w:val="24"/>
          <w:szCs w:val="24"/>
        </w:rPr>
        <w:tab/>
      </w:r>
      <w:r>
        <w:rPr>
          <w:rFonts w:hint="eastAsia" w:ascii="新宋体" w:hAnsi="新宋体" w:eastAsia="新宋体" w:cs="新宋体"/>
          <w:b w:val="0"/>
          <w:sz w:val="24"/>
          <w:szCs w:val="24"/>
        </w:rPr>
        <w:t xml:space="preserve"> 评标委员会</w:t>
      </w:r>
      <w:bookmarkEnd w:id="200"/>
      <w:bookmarkEnd w:id="201"/>
      <w:bookmarkEnd w:id="202"/>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6.1.2 评标委员会成员有下列情形之一的，应主动提出回避：</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（1）为负责招标项目监督管理的交通运输主管部门的工作人员；</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（2）与投标人法定代表人或其委托代理人有近亲属关系；</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（3）为投标人的工作人员或退休人员；</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（4）与投标人有其他利害关系，可能影响评标活动公正性；</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（5）在与招标投标有关的活动中有过违法违规行为、曾受过行政处罚或刑事处罚。</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6.1.3 评标过程中，评标委员会成员有回避事由、擅离职守或因健康等原因不能继续评标的，招标人有权更换。被更换的评标委员会成员作出的评审结论无效，由更换后的评标委员会成员重新进行评审。</w:t>
      </w:r>
    </w:p>
    <w:p>
      <w:pPr>
        <w:pStyle w:val="3"/>
        <w:spacing w:before="10" w:after="0" w:line="400" w:lineRule="exact"/>
        <w:rPr>
          <w:rFonts w:ascii="新宋体" w:hAnsi="新宋体" w:eastAsia="新宋体" w:cs="新宋体"/>
          <w:b w:val="0"/>
          <w:sz w:val="24"/>
          <w:szCs w:val="24"/>
        </w:rPr>
      </w:pPr>
      <w:bookmarkStart w:id="203" w:name="_Toc25898"/>
      <w:bookmarkStart w:id="204" w:name="_Toc509993855"/>
      <w:bookmarkStart w:id="205" w:name="_Toc234832908"/>
      <w:r>
        <w:rPr>
          <w:rFonts w:hint="eastAsia" w:ascii="新宋体" w:hAnsi="新宋体" w:eastAsia="新宋体" w:cs="新宋体"/>
          <w:b w:val="0"/>
          <w:sz w:val="24"/>
          <w:szCs w:val="24"/>
        </w:rPr>
        <w:t>6.2 评标原则</w:t>
      </w:r>
      <w:bookmarkEnd w:id="203"/>
      <w:bookmarkEnd w:id="204"/>
      <w:bookmarkEnd w:id="205"/>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评标活动遵循公平、公正、科学和择优的原则。</w:t>
      </w:r>
    </w:p>
    <w:p>
      <w:pPr>
        <w:pStyle w:val="3"/>
        <w:spacing w:before="10" w:after="0" w:line="400" w:lineRule="exact"/>
        <w:rPr>
          <w:rFonts w:ascii="新宋体" w:hAnsi="新宋体" w:eastAsia="新宋体" w:cs="新宋体"/>
          <w:b w:val="0"/>
          <w:sz w:val="24"/>
          <w:szCs w:val="24"/>
        </w:rPr>
      </w:pPr>
      <w:bookmarkStart w:id="206" w:name="_Toc509993856"/>
      <w:bookmarkStart w:id="207" w:name="_Toc234832909"/>
      <w:bookmarkStart w:id="208" w:name="_Toc11750"/>
      <w:r>
        <w:rPr>
          <w:rFonts w:hint="eastAsia" w:ascii="新宋体" w:hAnsi="新宋体" w:eastAsia="新宋体" w:cs="新宋体"/>
          <w:b w:val="0"/>
          <w:sz w:val="24"/>
          <w:szCs w:val="24"/>
        </w:rPr>
        <w:t>6.3 评标</w:t>
      </w:r>
      <w:bookmarkEnd w:id="206"/>
      <w:bookmarkEnd w:id="207"/>
      <w:bookmarkEnd w:id="208"/>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6.3.1 评标委员会按照第三章“评标办法”规定的方法、评审因素、标准和程序对投标文件进行评审。第三章“评标办法”没有规定的方法、评审因素和标准，不作为评标依据。</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6.3.2 评标完成后，评标委员会应向招标人提交书面评标报告和中标候选人名单。评标委员会推荐中标</w:t>
      </w:r>
      <w:bookmarkStart w:id="209" w:name="_Toc369531546"/>
      <w:bookmarkStart w:id="210" w:name="_Toc300834979"/>
      <w:bookmarkStart w:id="211" w:name="_Toc352691502"/>
      <w:bookmarkStart w:id="212" w:name="_Toc12259"/>
      <w:bookmarkStart w:id="213" w:name="_Toc247527583"/>
      <w:bookmarkStart w:id="214" w:name="_Toc144974526"/>
      <w:bookmarkStart w:id="215" w:name="_Toc152045558"/>
      <w:bookmarkStart w:id="216" w:name="_Toc247513982"/>
      <w:bookmarkStart w:id="217" w:name="_Toc361508615"/>
      <w:bookmarkStart w:id="218" w:name="_Toc152042334"/>
      <w:bookmarkStart w:id="219" w:name="_Toc384308240"/>
      <w:r>
        <w:rPr>
          <w:rFonts w:hint="eastAsia" w:ascii="新宋体" w:hAnsi="新宋体" w:eastAsia="新宋体" w:cs="新宋体"/>
          <w:sz w:val="24"/>
        </w:rPr>
        <w:t>候选人的人数见投标人须知前附</w:t>
      </w:r>
      <w:bookmarkEnd w:id="209"/>
      <w:bookmarkEnd w:id="210"/>
      <w:bookmarkEnd w:id="211"/>
      <w:bookmarkEnd w:id="212"/>
      <w:bookmarkEnd w:id="213"/>
      <w:bookmarkEnd w:id="214"/>
      <w:bookmarkEnd w:id="215"/>
      <w:bookmarkEnd w:id="216"/>
      <w:bookmarkEnd w:id="217"/>
      <w:bookmarkEnd w:id="218"/>
      <w:bookmarkEnd w:id="219"/>
      <w:r>
        <w:rPr>
          <w:rFonts w:hint="eastAsia" w:ascii="新宋体" w:hAnsi="新宋体" w:eastAsia="新宋体" w:cs="新宋体"/>
          <w:sz w:val="24"/>
        </w:rPr>
        <w:t>表。</w:t>
      </w:r>
    </w:p>
    <w:p>
      <w:pPr>
        <w:pStyle w:val="3"/>
        <w:spacing w:before="10" w:after="0" w:line="400" w:lineRule="exact"/>
        <w:rPr>
          <w:rFonts w:ascii="新宋体" w:hAnsi="新宋体" w:eastAsia="新宋体" w:cs="新宋体"/>
          <w:b w:val="0"/>
          <w:sz w:val="24"/>
          <w:szCs w:val="24"/>
        </w:rPr>
      </w:pPr>
      <w:bookmarkStart w:id="220" w:name="_Toc28023"/>
      <w:bookmarkStart w:id="221" w:name="_Toc9608_WPSOffice_Level2"/>
      <w:bookmarkStart w:id="222" w:name="_Toc16123_WPSOffice_Level2"/>
      <w:bookmarkStart w:id="223" w:name="_Toc234832910"/>
      <w:bookmarkStart w:id="224" w:name="_Toc12438_WPSOffice_Level2"/>
      <w:bookmarkStart w:id="225" w:name="_Toc509993857"/>
      <w:r>
        <w:rPr>
          <w:rFonts w:hint="eastAsia" w:ascii="新宋体" w:hAnsi="新宋体" w:eastAsia="新宋体" w:cs="新宋体"/>
          <w:b w:val="0"/>
          <w:sz w:val="24"/>
          <w:szCs w:val="24"/>
        </w:rPr>
        <w:t>7. 合同授予</w:t>
      </w:r>
      <w:bookmarkEnd w:id="220"/>
      <w:bookmarkEnd w:id="221"/>
      <w:bookmarkEnd w:id="222"/>
      <w:bookmarkEnd w:id="223"/>
      <w:bookmarkEnd w:id="224"/>
      <w:bookmarkEnd w:id="225"/>
    </w:p>
    <w:p>
      <w:pPr>
        <w:pStyle w:val="3"/>
        <w:spacing w:before="10" w:after="0" w:line="400" w:lineRule="exact"/>
        <w:rPr>
          <w:rFonts w:ascii="新宋体" w:hAnsi="新宋体" w:eastAsia="新宋体" w:cs="新宋体"/>
          <w:b w:val="0"/>
          <w:sz w:val="24"/>
          <w:szCs w:val="24"/>
        </w:rPr>
      </w:pPr>
      <w:bookmarkStart w:id="226" w:name="_Toc19045"/>
      <w:bookmarkStart w:id="227" w:name="_Toc509993858"/>
      <w:bookmarkStart w:id="228" w:name="_Toc234832911"/>
      <w:r>
        <w:rPr>
          <w:rFonts w:hint="eastAsia" w:ascii="新宋体" w:hAnsi="新宋体" w:eastAsia="新宋体" w:cs="新宋体"/>
          <w:b w:val="0"/>
          <w:sz w:val="24"/>
          <w:szCs w:val="24"/>
        </w:rPr>
        <w:t>7.1 中标候选人公示</w:t>
      </w:r>
      <w:bookmarkEnd w:id="226"/>
      <w:bookmarkEnd w:id="227"/>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招标人在收到评标报告之日起3日内，按照投标人须知前附表规定的公示媒介和期限公示中标候选人，公示期不得少于3日，公示内容包括：</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（1）中标候选人排序、名称、投标报价，对勘察设计质量要求、安全目标和勘察设计服务期限的响应情况；</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（2）中标候选人在投标文件中承诺的项目负责人姓名、个人业绩、相关证书名称和编号；</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（3）中标候选人在投标文件中填报的项目业绩；</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（4）被否决投标的投标人名称、否决依据和原因；</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（5）提出异议的渠道和方式；</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（6）投标人须知前附表规定公示的其他内容。</w:t>
      </w:r>
    </w:p>
    <w:p>
      <w:pPr>
        <w:pStyle w:val="3"/>
        <w:spacing w:before="10" w:after="0" w:line="400" w:lineRule="exact"/>
        <w:rPr>
          <w:rFonts w:ascii="新宋体" w:hAnsi="新宋体" w:eastAsia="新宋体" w:cs="新宋体"/>
          <w:b w:val="0"/>
          <w:sz w:val="24"/>
          <w:szCs w:val="24"/>
        </w:rPr>
      </w:pPr>
      <w:bookmarkStart w:id="229" w:name="_Toc26092"/>
      <w:bookmarkStart w:id="230" w:name="_Toc509993859"/>
      <w:r>
        <w:rPr>
          <w:rFonts w:hint="eastAsia" w:ascii="新宋体" w:hAnsi="新宋体" w:eastAsia="新宋体" w:cs="新宋体"/>
          <w:b w:val="0"/>
          <w:sz w:val="24"/>
          <w:szCs w:val="24"/>
        </w:rPr>
        <w:t>7.2 评标结果异议</w:t>
      </w:r>
      <w:bookmarkEnd w:id="229"/>
      <w:bookmarkEnd w:id="230"/>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投标人或其他利害关系人对依法必须进行招标的项目的评标结果有异议的，应在中标候选人公示期间提出。招标人将在收到异议之日起3日内作出答复；作出答复前，将暂停招标投标活动。</w:t>
      </w:r>
    </w:p>
    <w:p>
      <w:pPr>
        <w:pStyle w:val="3"/>
        <w:spacing w:before="10" w:after="0" w:line="400" w:lineRule="exact"/>
        <w:rPr>
          <w:rFonts w:ascii="新宋体" w:hAnsi="新宋体" w:eastAsia="新宋体" w:cs="新宋体"/>
          <w:b w:val="0"/>
          <w:sz w:val="24"/>
          <w:szCs w:val="24"/>
        </w:rPr>
      </w:pPr>
      <w:bookmarkStart w:id="231" w:name="_Toc509993860"/>
      <w:bookmarkStart w:id="232" w:name="_Toc11476"/>
      <w:r>
        <w:rPr>
          <w:rFonts w:hint="eastAsia" w:ascii="新宋体" w:hAnsi="新宋体" w:eastAsia="新宋体" w:cs="新宋体"/>
          <w:b w:val="0"/>
          <w:sz w:val="24"/>
          <w:szCs w:val="24"/>
        </w:rPr>
        <w:t>7.3 中标候选人履约能力审查</w:t>
      </w:r>
      <w:bookmarkEnd w:id="231"/>
      <w:bookmarkEnd w:id="232"/>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中标候选人的经营、财务状况发生较大变化或存在违法行为，招标人认为可能影响其履约能力的，将在发出中标通知书前提请原评标委员会按照招标文件规定的标准和方法进行审查确认。</w:t>
      </w:r>
    </w:p>
    <w:p>
      <w:pPr>
        <w:pStyle w:val="3"/>
        <w:spacing w:before="10" w:after="0" w:line="400" w:lineRule="exact"/>
        <w:rPr>
          <w:rFonts w:ascii="新宋体" w:hAnsi="新宋体" w:eastAsia="新宋体" w:cs="新宋体"/>
          <w:b w:val="0"/>
          <w:sz w:val="24"/>
          <w:szCs w:val="24"/>
        </w:rPr>
      </w:pPr>
      <w:bookmarkStart w:id="233" w:name="_Toc509993861"/>
      <w:bookmarkStart w:id="234" w:name="_Toc14935"/>
      <w:r>
        <w:rPr>
          <w:rFonts w:hint="eastAsia" w:ascii="新宋体" w:hAnsi="新宋体" w:eastAsia="新宋体" w:cs="新宋体"/>
          <w:b w:val="0"/>
          <w:sz w:val="24"/>
          <w:szCs w:val="24"/>
        </w:rPr>
        <w:t>7.4 定标</w:t>
      </w:r>
      <w:bookmarkEnd w:id="228"/>
      <w:bookmarkEnd w:id="233"/>
      <w:bookmarkEnd w:id="234"/>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按照投标人须知前附表的规定，招标人或招标人授权的评标委员会依法确定中标人。</w:t>
      </w:r>
    </w:p>
    <w:p>
      <w:pPr>
        <w:pStyle w:val="3"/>
        <w:spacing w:before="10" w:after="0" w:line="400" w:lineRule="exact"/>
        <w:rPr>
          <w:rFonts w:ascii="新宋体" w:hAnsi="新宋体" w:eastAsia="新宋体" w:cs="新宋体"/>
          <w:b w:val="0"/>
          <w:sz w:val="24"/>
          <w:szCs w:val="24"/>
        </w:rPr>
      </w:pPr>
      <w:bookmarkStart w:id="235" w:name="_Toc509993862"/>
      <w:bookmarkStart w:id="236" w:name="_Toc234832912"/>
      <w:bookmarkStart w:id="237" w:name="_Toc7946"/>
      <w:r>
        <w:rPr>
          <w:rFonts w:hint="eastAsia" w:ascii="新宋体" w:hAnsi="新宋体" w:eastAsia="新宋体" w:cs="新宋体"/>
          <w:b w:val="0"/>
          <w:sz w:val="24"/>
          <w:szCs w:val="24"/>
        </w:rPr>
        <w:t>7.5 中标通知</w:t>
      </w:r>
      <w:bookmarkEnd w:id="235"/>
      <w:bookmarkEnd w:id="236"/>
      <w:bookmarkEnd w:id="237"/>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在本章第3.3款规定的投标有效期内，招标人以投标人须知前附表规定的形式向中标人发出中标通知书，同时将中标结果通知未中标的投标人。</w:t>
      </w:r>
    </w:p>
    <w:p>
      <w:pPr>
        <w:pStyle w:val="3"/>
        <w:spacing w:before="10" w:after="0" w:line="400" w:lineRule="exact"/>
        <w:rPr>
          <w:rFonts w:ascii="新宋体" w:hAnsi="新宋体" w:eastAsia="新宋体" w:cs="新宋体"/>
          <w:b w:val="0"/>
          <w:sz w:val="24"/>
          <w:szCs w:val="24"/>
        </w:rPr>
      </w:pPr>
      <w:bookmarkStart w:id="238" w:name="_Toc28014"/>
      <w:bookmarkStart w:id="239" w:name="_Toc501257108"/>
      <w:bookmarkStart w:id="240" w:name="_Toc509993863"/>
      <w:r>
        <w:rPr>
          <w:rFonts w:hint="eastAsia" w:ascii="新宋体" w:hAnsi="新宋体" w:eastAsia="新宋体" w:cs="新宋体"/>
          <w:b w:val="0"/>
          <w:sz w:val="24"/>
          <w:szCs w:val="24"/>
        </w:rPr>
        <w:t>7.6 中标结果公告</w:t>
      </w:r>
      <w:bookmarkEnd w:id="238"/>
      <w:bookmarkEnd w:id="239"/>
      <w:bookmarkEnd w:id="240"/>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招标人在确定中标人之日起3日内，按照投标人须知前附表规定的公告媒介和期限公告中标结果，公告期不得少于3日。公告内容包括中标人名称、中标价。</w:t>
      </w:r>
    </w:p>
    <w:p>
      <w:pPr>
        <w:pStyle w:val="3"/>
        <w:spacing w:before="10" w:after="0" w:line="400" w:lineRule="exact"/>
        <w:rPr>
          <w:rFonts w:ascii="新宋体" w:hAnsi="新宋体" w:eastAsia="新宋体" w:cs="新宋体"/>
          <w:b w:val="0"/>
          <w:sz w:val="24"/>
          <w:szCs w:val="24"/>
        </w:rPr>
      </w:pPr>
      <w:bookmarkStart w:id="241" w:name="_Toc492300399"/>
      <w:bookmarkStart w:id="242" w:name="_Toc482188479"/>
      <w:bookmarkStart w:id="243" w:name="_Toc509993864"/>
      <w:bookmarkStart w:id="244" w:name="_Toc24632"/>
      <w:r>
        <w:rPr>
          <w:rFonts w:hint="eastAsia" w:ascii="新宋体" w:hAnsi="新宋体" w:eastAsia="新宋体" w:cs="新宋体"/>
          <w:b w:val="0"/>
          <w:sz w:val="24"/>
          <w:szCs w:val="24"/>
        </w:rPr>
        <w:t>7.7 技术成果经济补偿</w:t>
      </w:r>
      <w:bookmarkEnd w:id="241"/>
      <w:bookmarkEnd w:id="242"/>
      <w:bookmarkEnd w:id="243"/>
      <w:bookmarkEnd w:id="244"/>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招标人对符合招标文件规定的未中标人的技术成果进行补偿的，招标人将按投标人须知前附表规定的标准给予经济补偿，未中标人在投标文件中声明放弃技术成果经济补偿费的除外。招标人将于中标通知书发出后30日内向未中标人支付技术成果经济补偿费。</w:t>
      </w:r>
    </w:p>
    <w:p>
      <w:pPr>
        <w:pStyle w:val="3"/>
        <w:spacing w:before="10" w:after="0" w:line="400" w:lineRule="exact"/>
        <w:rPr>
          <w:rFonts w:ascii="新宋体" w:hAnsi="新宋体" w:eastAsia="新宋体" w:cs="新宋体"/>
          <w:b w:val="0"/>
          <w:sz w:val="24"/>
          <w:szCs w:val="24"/>
        </w:rPr>
      </w:pPr>
      <w:bookmarkStart w:id="245" w:name="_Toc234832913"/>
      <w:bookmarkStart w:id="246" w:name="_Toc509993865"/>
      <w:bookmarkStart w:id="247" w:name="_Toc13224"/>
      <w:r>
        <w:rPr>
          <w:rFonts w:hint="eastAsia" w:ascii="新宋体" w:hAnsi="新宋体" w:eastAsia="新宋体" w:cs="新宋体"/>
          <w:b w:val="0"/>
          <w:sz w:val="24"/>
          <w:szCs w:val="24"/>
        </w:rPr>
        <w:t>7.8 履约</w:t>
      </w:r>
      <w:bookmarkEnd w:id="245"/>
      <w:r>
        <w:rPr>
          <w:rFonts w:hint="eastAsia" w:ascii="新宋体" w:hAnsi="新宋体" w:eastAsia="新宋体" w:cs="新宋体"/>
          <w:b w:val="0"/>
          <w:sz w:val="24"/>
          <w:szCs w:val="24"/>
        </w:rPr>
        <w:t>保证金</w:t>
      </w:r>
      <w:bookmarkEnd w:id="246"/>
      <w:bookmarkEnd w:id="247"/>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7.8.1 在签订合同前，中标人应按投标人须知前附表规定的形式、金额和招标文件第四章“合同条款及格式”规定的或事先经过招标人书面认可的履约保证金格式向招标人提交履约保证金。除投标人须知前附表另有规定外，履约保证金为签约合同价的5%。</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7.8.2 中标人不能按本章第7.8.1项要求提交履约保证金的，视为放弃中标，其投标保证金不予退还，给招标人造成的损失超过投标保证金数额的，中标人还应对超过部分予以赔偿。</w:t>
      </w:r>
    </w:p>
    <w:p>
      <w:pPr>
        <w:pStyle w:val="3"/>
        <w:spacing w:before="10" w:after="0" w:line="400" w:lineRule="exact"/>
        <w:rPr>
          <w:rFonts w:ascii="新宋体" w:hAnsi="新宋体" w:eastAsia="新宋体" w:cs="新宋体"/>
          <w:b w:val="0"/>
          <w:sz w:val="24"/>
          <w:szCs w:val="24"/>
        </w:rPr>
      </w:pPr>
      <w:bookmarkStart w:id="248" w:name="_Toc234832914"/>
      <w:bookmarkStart w:id="249" w:name="_Toc509993866"/>
      <w:bookmarkStart w:id="250" w:name="_Toc9435"/>
      <w:r>
        <w:rPr>
          <w:rFonts w:hint="eastAsia" w:ascii="新宋体" w:hAnsi="新宋体" w:eastAsia="新宋体" w:cs="新宋体"/>
          <w:b w:val="0"/>
          <w:sz w:val="24"/>
          <w:szCs w:val="24"/>
        </w:rPr>
        <w:t>7.9 签订合同</w:t>
      </w:r>
      <w:bookmarkEnd w:id="248"/>
      <w:bookmarkEnd w:id="249"/>
      <w:bookmarkEnd w:id="250"/>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 xml:space="preserve">7.9.1 招标人和中标人应在中标通知书发出之日起30日内，根据招标文件和中标人的投标文件订立书面合同。中标人无正当理由拒签合同，在签订合同时向招标人提出附加条件，或不按照招标文件要求提交履约保证金的，招标人取消其中标资格，其投标保证金不予退还；给招标人造成的损失超过投标保证金数额的，中标人还应对超过部分予以赔偿。 </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7.9.2 发出中标通知书后，招标人无正当理由拒签合同，或在签订合同时向中标人提出附加条件的，招标人向中标人退还投标保证金；给中标人造成损失的，还应赔偿损失。</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招标人不得以压低勘察设计费、增加工作量、缩短勘察设计服务期限等作为中标的条件，不得与中标人再行订立背离合同实质性内容的其他协议。</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7.9.3 签约合同价的确定原则如下：</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（1）按照评标办法规定对投标报价进行修正后，若修正后的最终投标报价小于开标时的投标函大写金额报价，则签订合同时以修正后的最终投标报价为准；</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（2）按照评标办法规定对投标报价进行修正后，若修正后的最终投标报价大于开标时的投标函大写金额报价，则签订合同时以开标时的投标函大写金额报价为准，同时按比例修正相应子目的单价或合价。</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7.9.4 联合体中标的，联合体各方应共同与招标人签订合同，就中标项目向招标人承担连带责任。</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7.9.5 招标人和中标人在签订合同协议书的同时，须按照本招标文件规定的格式和要求签订廉政合同，明确双方在廉政建设方面的权利和义务以及应承担的违约责任。</w:t>
      </w:r>
    </w:p>
    <w:p>
      <w:pPr>
        <w:pStyle w:val="3"/>
        <w:spacing w:before="10" w:after="0" w:line="400" w:lineRule="exact"/>
        <w:rPr>
          <w:rFonts w:ascii="新宋体" w:hAnsi="新宋体" w:eastAsia="新宋体" w:cs="新宋体"/>
          <w:b w:val="0"/>
          <w:sz w:val="24"/>
          <w:szCs w:val="24"/>
        </w:rPr>
      </w:pPr>
      <w:bookmarkStart w:id="251" w:name="_Toc509993867"/>
      <w:bookmarkStart w:id="252" w:name="_Toc29702_WPSOffice_Level2"/>
      <w:bookmarkStart w:id="253" w:name="_Toc489"/>
      <w:bookmarkStart w:id="254" w:name="_Toc234832918"/>
      <w:bookmarkStart w:id="255" w:name="_Toc16542_WPSOffice_Level2"/>
      <w:bookmarkStart w:id="256" w:name="_Toc32616_WPSOffice_Level2"/>
      <w:bookmarkStart w:id="257" w:name="_Toc20550_WPSOffice_Level2"/>
      <w:r>
        <w:rPr>
          <w:rFonts w:hint="eastAsia" w:ascii="新宋体" w:hAnsi="新宋体" w:eastAsia="新宋体" w:cs="新宋体"/>
          <w:b w:val="0"/>
          <w:sz w:val="24"/>
          <w:szCs w:val="24"/>
        </w:rPr>
        <w:t>8. 纪律和监督</w:t>
      </w:r>
      <w:bookmarkEnd w:id="251"/>
      <w:bookmarkEnd w:id="252"/>
      <w:bookmarkEnd w:id="253"/>
      <w:bookmarkEnd w:id="254"/>
      <w:bookmarkEnd w:id="255"/>
      <w:bookmarkEnd w:id="256"/>
      <w:bookmarkEnd w:id="257"/>
    </w:p>
    <w:p>
      <w:pPr>
        <w:pStyle w:val="3"/>
        <w:spacing w:before="10" w:after="0" w:line="400" w:lineRule="exact"/>
        <w:rPr>
          <w:rFonts w:ascii="新宋体" w:hAnsi="新宋体" w:eastAsia="新宋体" w:cs="新宋体"/>
          <w:b w:val="0"/>
          <w:sz w:val="24"/>
          <w:szCs w:val="24"/>
        </w:rPr>
      </w:pPr>
      <w:bookmarkStart w:id="258" w:name="_Toc234832919"/>
      <w:bookmarkStart w:id="259" w:name="_Toc16186"/>
      <w:bookmarkStart w:id="260" w:name="_Toc509993868"/>
      <w:r>
        <w:rPr>
          <w:rFonts w:hint="eastAsia" w:ascii="新宋体" w:hAnsi="新宋体" w:eastAsia="新宋体" w:cs="新宋体"/>
          <w:b w:val="0"/>
          <w:sz w:val="24"/>
          <w:szCs w:val="24"/>
        </w:rPr>
        <w:t>8.1 对招标人的纪律要求</w:t>
      </w:r>
      <w:bookmarkEnd w:id="258"/>
      <w:bookmarkEnd w:id="259"/>
      <w:bookmarkEnd w:id="260"/>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招标人不得泄露招标投标活动中应保密的情况和资料，不得与投标人串通损害国家利益、社会公共利益或他人合法权益。</w:t>
      </w:r>
    </w:p>
    <w:p>
      <w:pPr>
        <w:pStyle w:val="3"/>
        <w:spacing w:before="10" w:after="0" w:line="400" w:lineRule="exact"/>
        <w:rPr>
          <w:rFonts w:ascii="新宋体" w:hAnsi="新宋体" w:eastAsia="新宋体" w:cs="新宋体"/>
          <w:b w:val="0"/>
          <w:sz w:val="24"/>
          <w:szCs w:val="24"/>
        </w:rPr>
      </w:pPr>
      <w:bookmarkStart w:id="261" w:name="_Toc509993869"/>
      <w:bookmarkStart w:id="262" w:name="_Toc5765"/>
      <w:bookmarkStart w:id="263" w:name="_Toc234832920"/>
      <w:r>
        <w:rPr>
          <w:rFonts w:hint="eastAsia" w:ascii="新宋体" w:hAnsi="新宋体" w:eastAsia="新宋体" w:cs="新宋体"/>
          <w:b w:val="0"/>
          <w:sz w:val="24"/>
          <w:szCs w:val="24"/>
        </w:rPr>
        <w:t>8.2 对投标人的纪律要求</w:t>
      </w:r>
      <w:bookmarkEnd w:id="261"/>
      <w:bookmarkEnd w:id="262"/>
      <w:bookmarkEnd w:id="263"/>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投标人不得相互串通投标或与招标人串通投标，不得向招标人或评标委员会成员行贿谋取中标，不得以他人名义投标或以其他方式弄虚作假骗取中标；投标人不得以任何方式干扰、影响评标工作。</w:t>
      </w:r>
    </w:p>
    <w:p>
      <w:pPr>
        <w:pStyle w:val="3"/>
        <w:spacing w:before="10" w:after="0" w:line="400" w:lineRule="exact"/>
        <w:rPr>
          <w:rFonts w:ascii="新宋体" w:hAnsi="新宋体" w:eastAsia="新宋体" w:cs="新宋体"/>
          <w:b w:val="0"/>
          <w:sz w:val="24"/>
          <w:szCs w:val="24"/>
        </w:rPr>
      </w:pPr>
      <w:bookmarkStart w:id="264" w:name="_Toc509993870"/>
      <w:bookmarkStart w:id="265" w:name="_Toc31963"/>
      <w:bookmarkStart w:id="266" w:name="_Toc234832921"/>
      <w:r>
        <w:rPr>
          <w:rFonts w:hint="eastAsia" w:ascii="新宋体" w:hAnsi="新宋体" w:eastAsia="新宋体" w:cs="新宋体"/>
          <w:b w:val="0"/>
          <w:sz w:val="24"/>
          <w:szCs w:val="24"/>
        </w:rPr>
        <w:t>8.3 对评标委员会成员的纪律要求</w:t>
      </w:r>
      <w:bookmarkEnd w:id="264"/>
      <w:bookmarkEnd w:id="265"/>
      <w:bookmarkEnd w:id="266"/>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评标委员会成员不得收受他人的财物或其他好处，不得向他人透露对投标文件的评审和比较、中标候选人的推荐情况以及评标有关的其他情况。在评标活动中，评标委员会成员应客观、公正地履行职责，遵守职业道德，不得擅离职守，影响评标程序正常进行，不得使用第三章“评标办法”没有规定的评审因素和标准进行评标。</w:t>
      </w:r>
    </w:p>
    <w:p>
      <w:pPr>
        <w:pStyle w:val="3"/>
        <w:spacing w:before="10" w:after="0" w:line="400" w:lineRule="exact"/>
        <w:rPr>
          <w:rFonts w:ascii="新宋体" w:hAnsi="新宋体" w:eastAsia="新宋体" w:cs="新宋体"/>
          <w:b w:val="0"/>
          <w:sz w:val="24"/>
          <w:szCs w:val="24"/>
        </w:rPr>
      </w:pPr>
      <w:bookmarkStart w:id="267" w:name="_Toc26769"/>
      <w:bookmarkStart w:id="268" w:name="_Toc234832922"/>
      <w:bookmarkStart w:id="269" w:name="_Toc509993871"/>
      <w:r>
        <w:rPr>
          <w:rFonts w:hint="eastAsia" w:ascii="新宋体" w:hAnsi="新宋体" w:eastAsia="新宋体" w:cs="新宋体"/>
          <w:b w:val="0"/>
          <w:sz w:val="24"/>
          <w:szCs w:val="24"/>
        </w:rPr>
        <w:t>8.4 对与评标活动有关的工作人员的纪律要求</w:t>
      </w:r>
      <w:bookmarkEnd w:id="267"/>
      <w:bookmarkEnd w:id="268"/>
      <w:bookmarkEnd w:id="269"/>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与评标活动有关的工作人员不得收受他人的财物或其他好处，不得向他人透露对投标文件的评审和比较、中标候选人的推荐情况以及评标有关的其他情况。在评标活动中，与评标活动有关的工作人员不得擅离职守，影响评标程序正常进行。</w:t>
      </w:r>
    </w:p>
    <w:p>
      <w:pPr>
        <w:pStyle w:val="3"/>
        <w:spacing w:before="10" w:after="0" w:line="400" w:lineRule="exact"/>
        <w:rPr>
          <w:rFonts w:ascii="新宋体" w:hAnsi="新宋体" w:eastAsia="新宋体" w:cs="新宋体"/>
          <w:b w:val="0"/>
          <w:sz w:val="24"/>
          <w:szCs w:val="24"/>
        </w:rPr>
      </w:pPr>
      <w:bookmarkStart w:id="270" w:name="_Toc509993872"/>
      <w:bookmarkStart w:id="271" w:name="_Toc234832923"/>
      <w:bookmarkStart w:id="272" w:name="_Toc30298"/>
      <w:r>
        <w:rPr>
          <w:rFonts w:hint="eastAsia" w:ascii="新宋体" w:hAnsi="新宋体" w:eastAsia="新宋体" w:cs="新宋体"/>
          <w:b w:val="0"/>
          <w:sz w:val="24"/>
          <w:szCs w:val="24"/>
        </w:rPr>
        <w:t>8.5 投诉</w:t>
      </w:r>
      <w:bookmarkEnd w:id="270"/>
      <w:bookmarkEnd w:id="271"/>
      <w:bookmarkEnd w:id="272"/>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8.5.1 投标人或其他利害关系人认为招标投标活动不符合法律、行政法规规定的，可以自知道或应当知道之日起10日内向有关行政监督部门投诉。投诉应有明确的请求和必要的证明材料。</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监督部门的联系方式见投标人须知前附表。</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8.5.2 投标人或其他利害关系人对招标文件、开标和评标结果提出投诉的，应按照本章第2.4款、第5.3款和第7.2款的规定先向招标人提出异议。异议答复期间</w:t>
      </w:r>
      <w:bookmarkStart w:id="273" w:name="_Toc152042346"/>
      <w:bookmarkStart w:id="274" w:name="_Toc12776"/>
      <w:bookmarkStart w:id="275" w:name="_Toc144974538"/>
      <w:bookmarkStart w:id="276" w:name="_Toc384308255"/>
      <w:bookmarkStart w:id="277" w:name="_Toc369531561"/>
      <w:bookmarkStart w:id="278" w:name="_Toc247527595"/>
      <w:bookmarkStart w:id="279" w:name="_Toc152045570"/>
      <w:bookmarkStart w:id="280" w:name="_Toc300834993"/>
      <w:bookmarkStart w:id="281" w:name="_Toc352691517"/>
      <w:bookmarkStart w:id="282" w:name="_Toc247513994"/>
      <w:bookmarkStart w:id="283" w:name="_Toc361508630"/>
      <w:r>
        <w:rPr>
          <w:rFonts w:hint="eastAsia" w:ascii="新宋体" w:hAnsi="新宋体" w:eastAsia="新宋体" w:cs="新宋体"/>
          <w:sz w:val="24"/>
        </w:rPr>
        <w:t>不计算在第8.5.</w:t>
      </w:r>
      <w:bookmarkEnd w:id="273"/>
      <w:bookmarkEnd w:id="274"/>
      <w:bookmarkEnd w:id="275"/>
      <w:bookmarkEnd w:id="276"/>
      <w:bookmarkEnd w:id="277"/>
      <w:bookmarkEnd w:id="278"/>
      <w:bookmarkEnd w:id="279"/>
      <w:bookmarkEnd w:id="280"/>
      <w:bookmarkEnd w:id="281"/>
      <w:bookmarkEnd w:id="282"/>
      <w:bookmarkEnd w:id="283"/>
      <w:r>
        <w:rPr>
          <w:rFonts w:hint="eastAsia" w:ascii="新宋体" w:hAnsi="新宋体" w:eastAsia="新宋体" w:cs="新宋体"/>
          <w:sz w:val="24"/>
        </w:rPr>
        <w:t>1项规定的期限内。</w:t>
      </w:r>
    </w:p>
    <w:p>
      <w:pPr>
        <w:pStyle w:val="3"/>
        <w:spacing w:before="10" w:after="0" w:line="400" w:lineRule="exact"/>
        <w:rPr>
          <w:rFonts w:ascii="新宋体" w:hAnsi="新宋体" w:eastAsia="新宋体" w:cs="新宋体"/>
          <w:b w:val="0"/>
          <w:sz w:val="24"/>
          <w:szCs w:val="24"/>
        </w:rPr>
      </w:pPr>
      <w:bookmarkStart w:id="284" w:name="_Toc24085"/>
      <w:bookmarkStart w:id="285" w:name="_Toc509993873"/>
      <w:bookmarkStart w:id="286" w:name="_Toc28689_WPSOffice_Level2"/>
      <w:bookmarkStart w:id="287" w:name="_Toc8316_WPSOffice_Level2"/>
      <w:bookmarkStart w:id="288" w:name="_Toc32091_WPSOffice_Level2"/>
      <w:bookmarkStart w:id="289" w:name="_Toc4671_WPSOffice_Level2"/>
      <w:r>
        <w:rPr>
          <w:rFonts w:hint="eastAsia" w:ascii="新宋体" w:hAnsi="新宋体" w:eastAsia="新宋体" w:cs="新宋体"/>
          <w:b w:val="0"/>
          <w:sz w:val="24"/>
          <w:szCs w:val="24"/>
        </w:rPr>
        <w:t>9. 是否采用电子招标投标</w:t>
      </w:r>
      <w:bookmarkEnd w:id="284"/>
      <w:bookmarkEnd w:id="285"/>
      <w:bookmarkEnd w:id="286"/>
      <w:bookmarkEnd w:id="287"/>
      <w:bookmarkEnd w:id="288"/>
      <w:bookmarkEnd w:id="289"/>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本招标项目是否采用电子招标投标方式，见投标人须知前附表。</w:t>
      </w:r>
    </w:p>
    <w:p>
      <w:pPr>
        <w:spacing w:before="10" w:line="400" w:lineRule="exact"/>
        <w:ind w:firstLine="480" w:firstLineChars="200"/>
        <w:rPr>
          <w:rFonts w:ascii="新宋体" w:hAnsi="新宋体" w:eastAsia="新宋体" w:cs="新宋体"/>
          <w:sz w:val="24"/>
        </w:rPr>
      </w:pPr>
      <w:bookmarkStart w:id="290" w:name="_Toc509993874"/>
      <w:bookmarkStart w:id="291" w:name="_Toc5329"/>
      <w:bookmarkStart w:id="292" w:name="_Toc1351_WPSOffice_Level2"/>
      <w:bookmarkStart w:id="293" w:name="_Toc234832924"/>
      <w:bookmarkStart w:id="294" w:name="_Toc8440_WPSOffice_Level2"/>
      <w:bookmarkStart w:id="295" w:name="_Toc4447_WPSOffice_Level2"/>
      <w:bookmarkStart w:id="296" w:name="_Toc30603_WPSOffice_Level2"/>
      <w:r>
        <w:rPr>
          <w:rFonts w:hint="eastAsia" w:ascii="新宋体" w:hAnsi="新宋体" w:eastAsia="新宋体" w:cs="新宋体"/>
          <w:sz w:val="24"/>
        </w:rPr>
        <w:t>10. 需要补充的其他内容</w:t>
      </w:r>
      <w:bookmarkEnd w:id="290"/>
      <w:bookmarkEnd w:id="291"/>
      <w:bookmarkEnd w:id="292"/>
      <w:bookmarkEnd w:id="293"/>
      <w:bookmarkEnd w:id="294"/>
      <w:bookmarkEnd w:id="295"/>
      <w:bookmarkEnd w:id="296"/>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10.1 自购买招标文件之日起，投标人应保证其提供的联系方式（电话、传真、电子邮件）一直有效，以便及时收到招标人发出的函件(招标文件的澄清、修改等)，并应及时向招标人反馈信息，否则招标人不承担由此引起的一切后果。</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需要补充的其他内容：见投标人须知前附表。</w:t>
      </w:r>
    </w:p>
    <w:p/>
    <w:p>
      <w:pPr>
        <w:pStyle w:val="3"/>
        <w:spacing w:before="240" w:after="240" w:line="240" w:lineRule="auto"/>
        <w:jc w:val="center"/>
        <w:rPr>
          <w:rFonts w:ascii="新宋体" w:hAnsi="新宋体" w:eastAsia="新宋体" w:cs="新宋体"/>
          <w:b w:val="0"/>
          <w:sz w:val="28"/>
          <w:szCs w:val="28"/>
        </w:rPr>
      </w:pPr>
      <w:bookmarkStart w:id="297" w:name="_Toc26725_WPSOffice_Level1"/>
      <w:bookmarkStart w:id="298" w:name="_Toc7605_WPSOffice_Level1"/>
      <w:bookmarkStart w:id="299" w:name="_Toc26378_WPSOffice_Level1"/>
      <w:bookmarkStart w:id="300" w:name="_Toc509993881"/>
      <w:bookmarkStart w:id="301" w:name="_Toc234832942"/>
      <w:bookmarkStart w:id="302" w:name="_Toc20435"/>
      <w:r>
        <w:rPr>
          <w:rFonts w:hint="eastAsia" w:ascii="新宋体" w:hAnsi="新宋体" w:eastAsia="新宋体" w:cs="新宋体"/>
          <w:b w:val="0"/>
          <w:sz w:val="28"/>
          <w:szCs w:val="28"/>
        </w:rPr>
        <w:t>第三章  评标办法（综合评估法）</w:t>
      </w:r>
      <w:bookmarkEnd w:id="297"/>
      <w:bookmarkEnd w:id="298"/>
      <w:bookmarkEnd w:id="299"/>
      <w:bookmarkEnd w:id="300"/>
      <w:bookmarkEnd w:id="301"/>
      <w:bookmarkEnd w:id="302"/>
    </w:p>
    <w:p>
      <w:pPr>
        <w:pStyle w:val="3"/>
        <w:spacing w:before="120" w:after="120" w:line="240" w:lineRule="auto"/>
        <w:rPr>
          <w:rFonts w:ascii="新宋体" w:hAnsi="新宋体" w:eastAsia="新宋体" w:cs="新宋体"/>
          <w:b w:val="0"/>
          <w:sz w:val="24"/>
          <w:szCs w:val="24"/>
        </w:rPr>
      </w:pPr>
      <w:bookmarkStart w:id="303" w:name="_Toc509993882"/>
      <w:bookmarkStart w:id="304" w:name="_Toc234832943"/>
      <w:bookmarkStart w:id="305" w:name="_Toc10218"/>
      <w:r>
        <w:rPr>
          <w:rFonts w:hint="eastAsia" w:ascii="新宋体" w:hAnsi="新宋体" w:eastAsia="新宋体" w:cs="新宋体"/>
          <w:b w:val="0"/>
          <w:sz w:val="24"/>
          <w:szCs w:val="24"/>
        </w:rPr>
        <w:t>评标办法前附表</w:t>
      </w:r>
      <w:bookmarkEnd w:id="303"/>
      <w:bookmarkEnd w:id="304"/>
      <w:bookmarkEnd w:id="305"/>
    </w:p>
    <w:tbl>
      <w:tblPr>
        <w:tblStyle w:val="20"/>
        <w:tblW w:w="889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98"/>
        <w:gridCol w:w="191"/>
        <w:gridCol w:w="1012"/>
        <w:gridCol w:w="893"/>
        <w:gridCol w:w="1864"/>
        <w:gridCol w:w="573"/>
        <w:gridCol w:w="35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5" w:hRule="atLeast"/>
          <w:tblHeader/>
        </w:trPr>
        <w:tc>
          <w:tcPr>
            <w:tcW w:w="2001" w:type="dxa"/>
            <w:gridSpan w:val="3"/>
            <w:tcBorders>
              <w:top w:val="single" w:color="auto" w:sz="4" w:space="0"/>
              <w:bottom w:val="single" w:color="auto" w:sz="4" w:space="0"/>
              <w:right w:val="single" w:color="auto" w:sz="4" w:space="0"/>
            </w:tcBorders>
            <w:vAlign w:val="center"/>
          </w:tcPr>
          <w:p>
            <w:pPr>
              <w:spacing w:line="400" w:lineRule="exact"/>
              <w:jc w:val="center"/>
              <w:rPr>
                <w:rFonts w:ascii="新宋体" w:hAnsi="新宋体" w:eastAsia="新宋体" w:cs="新宋体"/>
                <w:bCs/>
                <w:sz w:val="24"/>
              </w:rPr>
            </w:pPr>
            <w:r>
              <w:rPr>
                <w:rFonts w:hint="eastAsia" w:ascii="新宋体" w:hAnsi="新宋体" w:eastAsia="新宋体" w:cs="新宋体"/>
                <w:bCs/>
                <w:sz w:val="24"/>
              </w:rPr>
              <w:t>条款号</w:t>
            </w:r>
          </w:p>
        </w:tc>
        <w:tc>
          <w:tcPr>
            <w:tcW w:w="689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新宋体" w:hAnsi="新宋体" w:eastAsia="新宋体" w:cs="新宋体"/>
                <w:bCs/>
                <w:spacing w:val="4"/>
                <w:sz w:val="24"/>
              </w:rPr>
            </w:pPr>
            <w:r>
              <w:rPr>
                <w:rFonts w:hint="eastAsia" w:ascii="新宋体" w:hAnsi="新宋体" w:eastAsia="新宋体" w:cs="新宋体"/>
                <w:bCs/>
                <w:spacing w:val="4"/>
                <w:sz w:val="24"/>
              </w:rPr>
              <w:t>评审因素与评审标准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89" w:type="dxa"/>
            <w:gridSpan w:val="2"/>
            <w:tcBorders>
              <w:top w:val="single" w:color="auto" w:sz="4" w:space="0"/>
              <w:bottom w:val="single" w:color="auto" w:sz="4" w:space="0"/>
              <w:right w:val="single" w:color="auto" w:sz="4" w:space="0"/>
            </w:tcBorders>
            <w:vAlign w:val="center"/>
          </w:tcPr>
          <w:p>
            <w:pPr>
              <w:spacing w:line="400" w:lineRule="exact"/>
              <w:jc w:val="center"/>
              <w:rPr>
                <w:rFonts w:ascii="新宋体" w:hAnsi="新宋体" w:eastAsia="新宋体" w:cs="新宋体"/>
                <w:bCs/>
                <w:sz w:val="24"/>
              </w:rPr>
            </w:pPr>
            <w:r>
              <w:rPr>
                <w:rFonts w:hint="eastAsia" w:ascii="新宋体" w:hAnsi="新宋体" w:eastAsia="新宋体" w:cs="新宋体"/>
                <w:bCs/>
                <w:sz w:val="24"/>
              </w:rPr>
              <w:t>1</w:t>
            </w:r>
          </w:p>
        </w:tc>
        <w:tc>
          <w:tcPr>
            <w:tcW w:w="1012" w:type="dxa"/>
            <w:tcBorders>
              <w:top w:val="single" w:color="auto" w:sz="4" w:space="0"/>
              <w:bottom w:val="single" w:color="auto" w:sz="4" w:space="0"/>
              <w:right w:val="single" w:color="auto" w:sz="4" w:space="0"/>
            </w:tcBorders>
            <w:vAlign w:val="center"/>
          </w:tcPr>
          <w:p>
            <w:pPr>
              <w:spacing w:line="400" w:lineRule="exact"/>
              <w:jc w:val="center"/>
              <w:rPr>
                <w:rFonts w:ascii="新宋体" w:hAnsi="新宋体" w:eastAsia="新宋体" w:cs="新宋体"/>
                <w:bCs/>
                <w:sz w:val="24"/>
              </w:rPr>
            </w:pPr>
            <w:r>
              <w:rPr>
                <w:rFonts w:hint="eastAsia" w:ascii="新宋体" w:hAnsi="新宋体" w:eastAsia="新宋体" w:cs="新宋体"/>
                <w:bCs/>
                <w:sz w:val="24"/>
              </w:rPr>
              <w:t>评标方法</w:t>
            </w:r>
          </w:p>
        </w:tc>
        <w:tc>
          <w:tcPr>
            <w:tcW w:w="6890" w:type="dxa"/>
            <w:gridSpan w:val="4"/>
            <w:tcBorders>
              <w:top w:val="single" w:color="auto" w:sz="4" w:space="0"/>
              <w:left w:val="single" w:color="auto" w:sz="4" w:space="0"/>
              <w:right w:val="single" w:color="auto" w:sz="4" w:space="0"/>
            </w:tcBorders>
            <w:vAlign w:val="center"/>
          </w:tcPr>
          <w:p>
            <w:pPr>
              <w:spacing w:line="400" w:lineRule="exact"/>
              <w:ind w:firstLine="480" w:firstLineChars="200"/>
              <w:rPr>
                <w:rFonts w:ascii="新宋体" w:hAnsi="新宋体" w:eastAsia="新宋体" w:cs="新宋体"/>
                <w:bCs/>
                <w:sz w:val="24"/>
              </w:rPr>
            </w:pPr>
            <w:r>
              <w:rPr>
                <w:rFonts w:hint="eastAsia" w:ascii="新宋体" w:hAnsi="新宋体" w:eastAsia="新宋体" w:cs="新宋体"/>
                <w:bCs/>
                <w:sz w:val="24"/>
              </w:rPr>
              <w:t>综合评分相等时，评标委员会依次按照以下优先顺序推荐中标候选人或确定中标人：</w:t>
            </w:r>
          </w:p>
          <w:p>
            <w:pPr>
              <w:spacing w:line="400" w:lineRule="exact"/>
              <w:ind w:firstLine="480" w:firstLineChars="200"/>
              <w:rPr>
                <w:rFonts w:ascii="新宋体" w:hAnsi="新宋体" w:eastAsia="新宋体" w:cs="新宋体"/>
                <w:bCs/>
                <w:sz w:val="24"/>
              </w:rPr>
            </w:pPr>
            <w:r>
              <w:rPr>
                <w:rFonts w:hint="eastAsia" w:ascii="新宋体" w:hAnsi="新宋体" w:eastAsia="新宋体" w:cs="新宋体"/>
                <w:bCs/>
                <w:sz w:val="24"/>
              </w:rPr>
              <w:t>（1）评标价低的投标人优先；</w:t>
            </w:r>
          </w:p>
          <w:p>
            <w:pPr>
              <w:spacing w:line="400" w:lineRule="exact"/>
              <w:ind w:firstLine="480" w:firstLineChars="200"/>
              <w:rPr>
                <w:rFonts w:ascii="新宋体" w:hAnsi="新宋体" w:eastAsia="新宋体" w:cs="新宋体"/>
                <w:bCs/>
                <w:sz w:val="24"/>
              </w:rPr>
            </w:pPr>
            <w:r>
              <w:rPr>
                <w:rFonts w:hint="eastAsia" w:ascii="新宋体" w:hAnsi="新宋体" w:eastAsia="新宋体" w:cs="新宋体"/>
                <w:bCs/>
                <w:sz w:val="24"/>
              </w:rPr>
              <w:t>（2）陕西省公路局最新年度普通干线公路设计企业信用评价结果中较高信用等级的投标人优先；</w:t>
            </w:r>
          </w:p>
          <w:p>
            <w:pPr>
              <w:spacing w:line="400" w:lineRule="exact"/>
              <w:ind w:firstLine="480" w:firstLineChars="200"/>
              <w:rPr>
                <w:rFonts w:ascii="新宋体" w:hAnsi="新宋体" w:eastAsia="新宋体" w:cs="新宋体"/>
              </w:rPr>
            </w:pPr>
            <w:r>
              <w:rPr>
                <w:rFonts w:hint="eastAsia" w:ascii="新宋体" w:hAnsi="新宋体" w:eastAsia="新宋体" w:cs="新宋体"/>
                <w:bCs/>
                <w:sz w:val="24"/>
              </w:rPr>
              <w:t>（3）商务和技术得分较高的投标人优先。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89" w:type="dxa"/>
            <w:gridSpan w:val="2"/>
            <w:tcBorders>
              <w:top w:val="single" w:color="auto" w:sz="4" w:space="0"/>
              <w:bottom w:val="single" w:color="auto" w:sz="4" w:space="0"/>
              <w:right w:val="single" w:color="auto" w:sz="4" w:space="0"/>
            </w:tcBorders>
            <w:vAlign w:val="center"/>
          </w:tcPr>
          <w:p>
            <w:pPr>
              <w:spacing w:line="400" w:lineRule="exact"/>
              <w:jc w:val="center"/>
              <w:rPr>
                <w:rFonts w:ascii="新宋体" w:hAnsi="新宋体" w:eastAsia="新宋体" w:cs="新宋体"/>
                <w:bCs/>
                <w:sz w:val="24"/>
              </w:rPr>
            </w:pPr>
            <w:r>
              <w:rPr>
                <w:rFonts w:hint="eastAsia" w:ascii="新宋体" w:hAnsi="新宋体" w:eastAsia="新宋体" w:cs="新宋体"/>
                <w:bCs/>
                <w:sz w:val="24"/>
              </w:rPr>
              <w:t>2.1.1</w:t>
            </w:r>
          </w:p>
          <w:p>
            <w:pPr>
              <w:spacing w:line="400" w:lineRule="exact"/>
              <w:jc w:val="center"/>
              <w:rPr>
                <w:rFonts w:ascii="新宋体" w:hAnsi="新宋体" w:eastAsia="新宋体" w:cs="新宋体"/>
                <w:bCs/>
                <w:sz w:val="24"/>
              </w:rPr>
            </w:pPr>
            <w:r>
              <w:rPr>
                <w:rFonts w:hint="eastAsia" w:ascii="新宋体" w:hAnsi="新宋体" w:eastAsia="新宋体" w:cs="新宋体"/>
                <w:bCs/>
                <w:sz w:val="24"/>
              </w:rPr>
              <w:t>2.1.3</w:t>
            </w:r>
          </w:p>
        </w:tc>
        <w:tc>
          <w:tcPr>
            <w:tcW w:w="1012" w:type="dxa"/>
            <w:tcBorders>
              <w:top w:val="single" w:color="auto" w:sz="4" w:space="0"/>
              <w:bottom w:val="single" w:color="auto" w:sz="4" w:space="0"/>
              <w:right w:val="single" w:color="auto" w:sz="4" w:space="0"/>
            </w:tcBorders>
            <w:vAlign w:val="center"/>
          </w:tcPr>
          <w:p>
            <w:pPr>
              <w:spacing w:line="400" w:lineRule="exact"/>
              <w:jc w:val="center"/>
              <w:rPr>
                <w:rFonts w:ascii="新宋体" w:hAnsi="新宋体" w:eastAsia="新宋体" w:cs="新宋体"/>
                <w:bCs/>
                <w:sz w:val="24"/>
              </w:rPr>
            </w:pPr>
            <w:r>
              <w:rPr>
                <w:rFonts w:hint="eastAsia" w:ascii="新宋体" w:hAnsi="新宋体" w:eastAsia="新宋体" w:cs="新宋体"/>
                <w:bCs/>
                <w:sz w:val="24"/>
              </w:rPr>
              <w:t>形式评审与响应性评审标准</w:t>
            </w:r>
          </w:p>
        </w:tc>
        <w:tc>
          <w:tcPr>
            <w:tcW w:w="6890" w:type="dxa"/>
            <w:gridSpan w:val="4"/>
            <w:tcBorders>
              <w:top w:val="single" w:color="auto" w:sz="4" w:space="0"/>
              <w:left w:val="single" w:color="auto" w:sz="4" w:space="0"/>
              <w:right w:val="single" w:color="auto" w:sz="4" w:space="0"/>
            </w:tcBorders>
            <w:vAlign w:val="center"/>
          </w:tcPr>
          <w:p>
            <w:pPr>
              <w:spacing w:line="400" w:lineRule="exact"/>
              <w:ind w:firstLine="480" w:firstLineChars="200"/>
              <w:rPr>
                <w:rFonts w:ascii="新宋体" w:hAnsi="新宋体" w:eastAsia="新宋体" w:cs="新宋体"/>
                <w:bCs/>
                <w:sz w:val="24"/>
              </w:rPr>
            </w:pPr>
            <w:r>
              <w:rPr>
                <w:rFonts w:hint="eastAsia" w:ascii="新宋体" w:hAnsi="新宋体" w:eastAsia="新宋体" w:cs="新宋体"/>
                <w:bCs/>
                <w:sz w:val="24"/>
              </w:rPr>
              <w:t>第一个信封（商务及技术文件）评审标准：</w:t>
            </w:r>
          </w:p>
          <w:p>
            <w:pPr>
              <w:spacing w:line="400" w:lineRule="exact"/>
              <w:ind w:firstLine="480" w:firstLineChars="200"/>
              <w:rPr>
                <w:rFonts w:ascii="新宋体" w:hAnsi="新宋体" w:eastAsia="新宋体" w:cs="新宋体"/>
                <w:bCs/>
                <w:sz w:val="24"/>
              </w:rPr>
            </w:pPr>
            <w:r>
              <w:rPr>
                <w:rFonts w:hint="eastAsia" w:ascii="新宋体" w:hAnsi="新宋体" w:eastAsia="新宋体" w:cs="新宋体"/>
                <w:bCs/>
                <w:sz w:val="24"/>
              </w:rPr>
              <w:t>（1）投标文件按照招标文件规定的格式、内容填写，字迹清晰可辨：</w:t>
            </w:r>
          </w:p>
          <w:p>
            <w:pPr>
              <w:spacing w:line="400" w:lineRule="exact"/>
              <w:ind w:firstLine="480" w:firstLineChars="200"/>
              <w:rPr>
                <w:rFonts w:ascii="新宋体" w:hAnsi="新宋体" w:eastAsia="新宋体" w:cs="新宋体"/>
                <w:bCs/>
                <w:sz w:val="24"/>
              </w:rPr>
            </w:pPr>
            <w:r>
              <w:rPr>
                <w:rFonts w:hint="eastAsia" w:ascii="新宋体" w:hAnsi="新宋体" w:eastAsia="新宋体" w:cs="新宋体"/>
                <w:bCs/>
                <w:sz w:val="24"/>
              </w:rPr>
              <w:t>a.投标函按招标文件规定填报了项目名称、标段号、补遗书编号（如有）、设计服务期限、工程质量要求及安全目标；</w:t>
            </w:r>
          </w:p>
          <w:p>
            <w:pPr>
              <w:spacing w:line="400" w:lineRule="exact"/>
              <w:ind w:firstLine="480" w:firstLineChars="200"/>
              <w:rPr>
                <w:rFonts w:ascii="新宋体" w:hAnsi="新宋体" w:eastAsia="新宋体" w:cs="新宋体"/>
                <w:bCs/>
                <w:sz w:val="24"/>
              </w:rPr>
            </w:pPr>
            <w:r>
              <w:rPr>
                <w:rFonts w:hint="eastAsia" w:ascii="新宋体" w:hAnsi="新宋体" w:eastAsia="新宋体" w:cs="新宋体"/>
                <w:bCs/>
                <w:sz w:val="24"/>
              </w:rPr>
              <w:t>b.投标文件组成齐全完整，内容均按规定填写。</w:t>
            </w:r>
          </w:p>
          <w:p>
            <w:pPr>
              <w:spacing w:line="400" w:lineRule="exact"/>
              <w:ind w:firstLine="480" w:firstLineChars="200"/>
              <w:rPr>
                <w:rFonts w:ascii="新宋体" w:hAnsi="新宋体" w:eastAsia="新宋体" w:cs="新宋体"/>
                <w:bCs/>
                <w:sz w:val="24"/>
              </w:rPr>
            </w:pPr>
            <w:r>
              <w:rPr>
                <w:rFonts w:hint="eastAsia" w:ascii="新宋体" w:hAnsi="新宋体" w:eastAsia="新宋体" w:cs="新宋体"/>
                <w:bCs/>
                <w:sz w:val="24"/>
              </w:rPr>
              <w:t>（2）投标文件上法定代表人或其委托代理人的签字、投标人的单位章盖章齐全，符合招标文件规定。</w:t>
            </w:r>
          </w:p>
          <w:p>
            <w:pPr>
              <w:spacing w:line="400" w:lineRule="exact"/>
              <w:ind w:firstLine="480" w:firstLineChars="200"/>
              <w:rPr>
                <w:rFonts w:ascii="新宋体" w:hAnsi="新宋体" w:eastAsia="新宋体" w:cs="新宋体"/>
                <w:bCs/>
                <w:sz w:val="24"/>
              </w:rPr>
            </w:pPr>
            <w:r>
              <w:rPr>
                <w:rFonts w:hint="eastAsia" w:ascii="新宋体" w:hAnsi="新宋体" w:eastAsia="新宋体" w:cs="新宋体"/>
                <w:bCs/>
                <w:sz w:val="24"/>
              </w:rPr>
              <w:t>（3）投标人按照招标文件的规定提供了投标保证金：</w:t>
            </w:r>
          </w:p>
          <w:p>
            <w:pPr>
              <w:spacing w:line="400" w:lineRule="exact"/>
              <w:ind w:firstLine="480" w:firstLineChars="200"/>
              <w:rPr>
                <w:rFonts w:ascii="新宋体" w:hAnsi="新宋体" w:eastAsia="新宋体" w:cs="新宋体"/>
                <w:bCs/>
                <w:sz w:val="24"/>
              </w:rPr>
            </w:pPr>
            <w:r>
              <w:rPr>
                <w:rFonts w:hint="eastAsia" w:ascii="新宋体" w:hAnsi="新宋体" w:eastAsia="新宋体" w:cs="新宋体"/>
                <w:bCs/>
                <w:sz w:val="24"/>
              </w:rPr>
              <w:t>a.投标保证金金额符合招标文件规定的金额，且投标保证金有效期不少于投标有效期；</w:t>
            </w:r>
          </w:p>
          <w:p>
            <w:pPr>
              <w:spacing w:line="400" w:lineRule="exact"/>
              <w:ind w:firstLine="480" w:firstLineChars="200"/>
              <w:rPr>
                <w:rFonts w:ascii="新宋体" w:hAnsi="新宋体" w:eastAsia="新宋体" w:cs="新宋体"/>
                <w:bCs/>
                <w:sz w:val="24"/>
              </w:rPr>
            </w:pPr>
            <w:r>
              <w:rPr>
                <w:rFonts w:hint="eastAsia" w:ascii="新宋体" w:hAnsi="新宋体" w:eastAsia="新宋体" w:cs="新宋体"/>
                <w:bCs/>
                <w:sz w:val="24"/>
              </w:rPr>
              <w:t>b.若投标保证金采用现金或支票形式提交，投标人应在递交投标文件截止时间之前，将投标保证金由投标人的基本账户转入招标人指定账户；</w:t>
            </w:r>
          </w:p>
          <w:p>
            <w:pPr>
              <w:spacing w:line="400" w:lineRule="exact"/>
              <w:ind w:firstLine="480" w:firstLineChars="200"/>
              <w:rPr>
                <w:rFonts w:ascii="新宋体" w:hAnsi="新宋体" w:eastAsia="新宋体" w:cs="新宋体"/>
                <w:bCs/>
                <w:sz w:val="24"/>
              </w:rPr>
            </w:pPr>
            <w:r>
              <w:rPr>
                <w:rFonts w:hint="eastAsia" w:ascii="新宋体" w:hAnsi="新宋体" w:eastAsia="新宋体" w:cs="新宋体"/>
                <w:bCs/>
                <w:sz w:val="24"/>
              </w:rPr>
              <w:t>c.若投标保证金采用银行保函形式提交，银行保函的格式、开具保函的银行均满足招标文件要求，且在递交投标文件截止时间之前向招标人提交了银行保函原件。</w:t>
            </w:r>
          </w:p>
          <w:p>
            <w:pPr>
              <w:spacing w:line="400" w:lineRule="exact"/>
              <w:ind w:firstLine="480" w:firstLineChars="200"/>
              <w:rPr>
                <w:rFonts w:ascii="新宋体" w:hAnsi="新宋体" w:eastAsia="新宋体" w:cs="新宋体"/>
                <w:bCs/>
                <w:sz w:val="24"/>
              </w:rPr>
            </w:pPr>
            <w:r>
              <w:rPr>
                <w:rFonts w:hint="eastAsia" w:ascii="新宋体" w:hAnsi="新宋体" w:eastAsia="新宋体" w:cs="新宋体"/>
                <w:bCs/>
                <w:sz w:val="24"/>
              </w:rPr>
              <w:t>（4）投标人法定代表人授权委托代理人签署投标文件的，须提交授权委托书，且授权人和被授权人均在授权委托书上签名，未使用印章、签名章或其他电子制版签名代替。</w:t>
            </w:r>
          </w:p>
          <w:p>
            <w:pPr>
              <w:spacing w:line="400" w:lineRule="exact"/>
              <w:ind w:firstLine="480" w:firstLineChars="200"/>
              <w:rPr>
                <w:rFonts w:ascii="新宋体" w:hAnsi="新宋体" w:eastAsia="新宋体" w:cs="新宋体"/>
                <w:bCs/>
                <w:sz w:val="24"/>
              </w:rPr>
            </w:pPr>
            <w:r>
              <w:rPr>
                <w:rFonts w:hint="eastAsia" w:ascii="新宋体" w:hAnsi="新宋体" w:eastAsia="新宋体" w:cs="新宋体"/>
                <w:bCs/>
                <w:sz w:val="24"/>
              </w:rPr>
              <w:t>（5）投标人法定代表人亲自签署投标文件的，提供了法定代表人身份证明，且法定代表人在法定代表人身份证明上签名，未使用印章、签名章或其他电子制版签名代替。</w:t>
            </w:r>
          </w:p>
          <w:p>
            <w:pPr>
              <w:spacing w:line="400" w:lineRule="exact"/>
              <w:ind w:firstLine="480" w:firstLineChars="200"/>
              <w:rPr>
                <w:rFonts w:ascii="新宋体" w:hAnsi="新宋体" w:eastAsia="新宋体" w:cs="新宋体"/>
                <w:bCs/>
                <w:sz w:val="24"/>
              </w:rPr>
            </w:pPr>
            <w:r>
              <w:rPr>
                <w:rFonts w:hint="eastAsia" w:ascii="新宋体" w:hAnsi="新宋体" w:eastAsia="新宋体" w:cs="新宋体"/>
                <w:bCs/>
                <w:sz w:val="24"/>
              </w:rPr>
              <w:t>（6）同一投标人未提交两个以上不同的投标文件，但招标文件要求提交备选投标的除外。</w:t>
            </w:r>
          </w:p>
          <w:p>
            <w:pPr>
              <w:spacing w:line="400" w:lineRule="exact"/>
              <w:ind w:firstLine="480" w:firstLineChars="200"/>
              <w:rPr>
                <w:rFonts w:ascii="新宋体" w:hAnsi="新宋体" w:eastAsia="新宋体" w:cs="新宋体"/>
                <w:bCs/>
                <w:sz w:val="24"/>
              </w:rPr>
            </w:pPr>
            <w:r>
              <w:rPr>
                <w:rFonts w:hint="eastAsia" w:ascii="新宋体" w:hAnsi="新宋体" w:eastAsia="新宋体" w:cs="新宋体"/>
                <w:bCs/>
                <w:sz w:val="24"/>
              </w:rPr>
              <w:t>（7）投标文件中未出现有关投标报价的内容。</w:t>
            </w:r>
          </w:p>
          <w:p>
            <w:pPr>
              <w:spacing w:line="400" w:lineRule="exact"/>
              <w:ind w:firstLine="480" w:firstLineChars="200"/>
              <w:rPr>
                <w:rFonts w:ascii="新宋体" w:hAnsi="新宋体" w:eastAsia="新宋体" w:cs="新宋体"/>
                <w:bCs/>
                <w:sz w:val="24"/>
              </w:rPr>
            </w:pPr>
            <w:r>
              <w:rPr>
                <w:rFonts w:hint="eastAsia" w:ascii="新宋体" w:hAnsi="新宋体" w:eastAsia="新宋体" w:cs="新宋体"/>
                <w:bCs/>
                <w:sz w:val="24"/>
              </w:rPr>
              <w:t>（8）投标文件载明的招标项目完成期限未超过招标文件规定的时限。</w:t>
            </w:r>
          </w:p>
          <w:p>
            <w:pPr>
              <w:spacing w:line="400" w:lineRule="exact"/>
              <w:ind w:firstLine="480" w:firstLineChars="200"/>
              <w:rPr>
                <w:rFonts w:ascii="新宋体" w:hAnsi="新宋体" w:eastAsia="新宋体" w:cs="新宋体"/>
                <w:bCs/>
                <w:sz w:val="24"/>
              </w:rPr>
            </w:pPr>
            <w:r>
              <w:rPr>
                <w:rFonts w:hint="eastAsia" w:ascii="新宋体" w:hAnsi="新宋体" w:eastAsia="新宋体" w:cs="新宋体"/>
                <w:bCs/>
                <w:sz w:val="24"/>
              </w:rPr>
              <w:t>（9）投标文件对招标文件的实质性要求和条件作出响应。</w:t>
            </w:r>
          </w:p>
          <w:p>
            <w:pPr>
              <w:spacing w:line="400" w:lineRule="exact"/>
              <w:ind w:firstLine="480" w:firstLineChars="200"/>
              <w:rPr>
                <w:rFonts w:ascii="新宋体" w:hAnsi="新宋体" w:eastAsia="新宋体" w:cs="新宋体"/>
                <w:bCs/>
                <w:sz w:val="24"/>
              </w:rPr>
            </w:pPr>
            <w:r>
              <w:rPr>
                <w:rFonts w:hint="eastAsia" w:ascii="新宋体" w:hAnsi="新宋体" w:eastAsia="新宋体" w:cs="新宋体"/>
                <w:bCs/>
                <w:sz w:val="24"/>
              </w:rPr>
              <w:t>（10）权利义务符合招标文件规定：</w:t>
            </w:r>
          </w:p>
          <w:p>
            <w:pPr>
              <w:spacing w:line="400" w:lineRule="exact"/>
              <w:ind w:firstLine="480" w:firstLineChars="200"/>
              <w:rPr>
                <w:rFonts w:ascii="新宋体" w:hAnsi="新宋体" w:eastAsia="新宋体" w:cs="新宋体"/>
                <w:bCs/>
                <w:sz w:val="24"/>
              </w:rPr>
            </w:pPr>
            <w:r>
              <w:rPr>
                <w:rFonts w:hint="eastAsia" w:ascii="新宋体" w:hAnsi="新宋体" w:eastAsia="新宋体" w:cs="新宋体"/>
                <w:bCs/>
                <w:sz w:val="24"/>
              </w:rPr>
              <w:t>a.投标人应接受招标文件规定的风险划分原则，未提出新的风险划分办法；</w:t>
            </w:r>
          </w:p>
          <w:p>
            <w:pPr>
              <w:spacing w:line="400" w:lineRule="exact"/>
              <w:ind w:firstLine="480" w:firstLineChars="200"/>
              <w:rPr>
                <w:rFonts w:ascii="新宋体" w:hAnsi="新宋体" w:eastAsia="新宋体" w:cs="新宋体"/>
                <w:bCs/>
                <w:sz w:val="24"/>
              </w:rPr>
            </w:pPr>
            <w:r>
              <w:rPr>
                <w:rFonts w:hint="eastAsia" w:ascii="新宋体" w:hAnsi="新宋体" w:eastAsia="新宋体" w:cs="新宋体"/>
                <w:bCs/>
                <w:sz w:val="24"/>
              </w:rPr>
              <w:t>b.投标人未增加发包人的责任范围，或减少投标人义务；</w:t>
            </w:r>
          </w:p>
          <w:p>
            <w:pPr>
              <w:spacing w:line="400" w:lineRule="exact"/>
              <w:ind w:firstLine="480" w:firstLineChars="200"/>
              <w:rPr>
                <w:rFonts w:ascii="新宋体" w:hAnsi="新宋体" w:eastAsia="新宋体" w:cs="新宋体"/>
                <w:bCs/>
                <w:sz w:val="24"/>
              </w:rPr>
            </w:pPr>
            <w:r>
              <w:rPr>
                <w:rFonts w:hint="eastAsia" w:ascii="新宋体" w:hAnsi="新宋体" w:eastAsia="新宋体" w:cs="新宋体"/>
                <w:bCs/>
                <w:sz w:val="24"/>
              </w:rPr>
              <w:t>c.投标人未提出不同的支付办法；</w:t>
            </w:r>
          </w:p>
          <w:p>
            <w:pPr>
              <w:spacing w:line="400" w:lineRule="exact"/>
              <w:ind w:firstLine="480" w:firstLineChars="200"/>
              <w:rPr>
                <w:rFonts w:ascii="新宋体" w:hAnsi="新宋体" w:eastAsia="新宋体" w:cs="新宋体"/>
                <w:bCs/>
                <w:sz w:val="24"/>
              </w:rPr>
            </w:pPr>
            <w:r>
              <w:rPr>
                <w:rFonts w:hint="eastAsia" w:ascii="新宋体" w:hAnsi="新宋体" w:eastAsia="新宋体" w:cs="新宋体"/>
                <w:bCs/>
                <w:sz w:val="24"/>
              </w:rPr>
              <w:t>d.投标人对合同纠纷、事故处理办法未提出异议；</w:t>
            </w:r>
          </w:p>
          <w:p>
            <w:pPr>
              <w:spacing w:line="400" w:lineRule="exact"/>
              <w:ind w:firstLine="480" w:firstLineChars="200"/>
              <w:rPr>
                <w:rFonts w:ascii="新宋体" w:hAnsi="新宋体" w:eastAsia="新宋体" w:cs="新宋体"/>
                <w:bCs/>
                <w:sz w:val="24"/>
              </w:rPr>
            </w:pPr>
            <w:r>
              <w:rPr>
                <w:rFonts w:hint="eastAsia" w:ascii="新宋体" w:hAnsi="新宋体" w:eastAsia="新宋体" w:cs="新宋体"/>
                <w:bCs/>
                <w:sz w:val="24"/>
              </w:rPr>
              <w:t>e.投标人在投标活动中无欺诈行为；</w:t>
            </w:r>
          </w:p>
          <w:p>
            <w:pPr>
              <w:spacing w:line="400" w:lineRule="exact"/>
              <w:ind w:firstLine="480" w:firstLineChars="200"/>
              <w:rPr>
                <w:rFonts w:ascii="新宋体" w:hAnsi="新宋体" w:eastAsia="新宋体" w:cs="新宋体"/>
                <w:bCs/>
                <w:sz w:val="24"/>
              </w:rPr>
            </w:pPr>
            <w:r>
              <w:rPr>
                <w:rFonts w:hint="eastAsia" w:ascii="新宋体" w:hAnsi="新宋体" w:eastAsia="新宋体" w:cs="新宋体"/>
                <w:bCs/>
                <w:sz w:val="24"/>
              </w:rPr>
              <w:t>f.投标人未对合同条款有重要保留。</w:t>
            </w:r>
          </w:p>
          <w:p>
            <w:pPr>
              <w:spacing w:line="400" w:lineRule="exact"/>
              <w:ind w:firstLine="480" w:firstLineChars="200"/>
              <w:rPr>
                <w:rFonts w:ascii="新宋体" w:hAnsi="新宋体" w:eastAsia="新宋体" w:cs="新宋体"/>
                <w:bCs/>
                <w:sz w:val="24"/>
              </w:rPr>
            </w:pPr>
            <w:r>
              <w:rPr>
                <w:rFonts w:hint="eastAsia" w:ascii="新宋体" w:hAnsi="新宋体" w:eastAsia="新宋体" w:cs="新宋体"/>
                <w:bCs/>
                <w:sz w:val="24"/>
              </w:rPr>
              <w:t>（11）投标文件未附有招标人不能接受的条件。</w:t>
            </w:r>
          </w:p>
          <w:p>
            <w:pPr>
              <w:spacing w:line="400" w:lineRule="exact"/>
              <w:ind w:firstLine="480" w:firstLineChars="200"/>
              <w:rPr>
                <w:rFonts w:ascii="新宋体" w:hAnsi="新宋体" w:eastAsia="新宋体" w:cs="新宋体"/>
                <w:bCs/>
                <w:sz w:val="24"/>
              </w:rPr>
            </w:pPr>
            <w:r>
              <w:rPr>
                <w:rFonts w:hint="eastAsia" w:ascii="新宋体" w:hAnsi="新宋体" w:eastAsia="新宋体" w:cs="新宋体"/>
                <w:bCs/>
                <w:sz w:val="24"/>
              </w:rPr>
              <w:t>（1</w:t>
            </w:r>
            <w:r>
              <w:rPr>
                <w:rFonts w:hint="default" w:ascii="新宋体" w:hAnsi="新宋体" w:eastAsia="新宋体" w:cs="新宋体"/>
                <w:bCs/>
                <w:sz w:val="24"/>
                <w:lang w:val="en-US"/>
              </w:rPr>
              <w:t>2</w:t>
            </w:r>
            <w:r>
              <w:rPr>
                <w:rFonts w:hint="eastAsia" w:ascii="新宋体" w:hAnsi="新宋体" w:eastAsia="新宋体" w:cs="新宋体"/>
                <w:bCs/>
                <w:sz w:val="24"/>
              </w:rPr>
              <w:t>）投标人未以联合体形式投标。</w:t>
            </w:r>
          </w:p>
          <w:p>
            <w:pPr>
              <w:spacing w:line="400" w:lineRule="exact"/>
              <w:ind w:firstLine="480" w:firstLineChars="200"/>
              <w:rPr>
                <w:rFonts w:ascii="新宋体" w:hAnsi="新宋体" w:eastAsia="新宋体" w:cs="新宋体"/>
                <w:bCs/>
                <w:sz w:val="24"/>
              </w:rPr>
            </w:pPr>
          </w:p>
          <w:p>
            <w:pPr>
              <w:spacing w:line="400" w:lineRule="exact"/>
              <w:ind w:firstLine="480" w:firstLineChars="200"/>
              <w:rPr>
                <w:rFonts w:ascii="新宋体" w:hAnsi="新宋体" w:eastAsia="新宋体" w:cs="新宋体"/>
                <w:bCs/>
                <w:sz w:val="24"/>
              </w:rPr>
            </w:pPr>
            <w:r>
              <w:rPr>
                <w:rFonts w:hint="eastAsia" w:ascii="新宋体" w:hAnsi="新宋体" w:eastAsia="新宋体" w:cs="新宋体"/>
                <w:bCs/>
                <w:sz w:val="24"/>
              </w:rPr>
              <w:t>第二个信封（报价文件）评审标准：</w:t>
            </w:r>
          </w:p>
          <w:p>
            <w:pPr>
              <w:spacing w:line="400" w:lineRule="exact"/>
              <w:ind w:firstLine="480" w:firstLineChars="200"/>
              <w:rPr>
                <w:rFonts w:ascii="新宋体" w:hAnsi="新宋体" w:eastAsia="新宋体" w:cs="新宋体"/>
                <w:bCs/>
                <w:sz w:val="24"/>
              </w:rPr>
            </w:pPr>
            <w:r>
              <w:rPr>
                <w:rFonts w:hint="eastAsia" w:ascii="新宋体" w:hAnsi="新宋体" w:eastAsia="新宋体" w:cs="新宋体"/>
                <w:bCs/>
                <w:sz w:val="24"/>
              </w:rPr>
              <w:t>（1）投标文件按照招标文件规定的格式、内容填写，字迹清晰可辨，内容齐全完整：</w:t>
            </w:r>
          </w:p>
          <w:p>
            <w:pPr>
              <w:spacing w:line="400" w:lineRule="exact"/>
              <w:ind w:firstLine="480" w:firstLineChars="200"/>
              <w:rPr>
                <w:rFonts w:ascii="新宋体" w:hAnsi="新宋体" w:eastAsia="新宋体" w:cs="新宋体"/>
                <w:bCs/>
                <w:sz w:val="24"/>
              </w:rPr>
            </w:pPr>
            <w:r>
              <w:rPr>
                <w:rFonts w:hint="eastAsia" w:ascii="新宋体" w:hAnsi="新宋体" w:eastAsia="新宋体" w:cs="新宋体"/>
                <w:bCs/>
                <w:sz w:val="24"/>
              </w:rPr>
              <w:t>a.投标函按招标文件规定填报了项目名称、标段号、补遗书编号（如有）、投标价（包括大写金额和小写金额）；</w:t>
            </w:r>
          </w:p>
          <w:p>
            <w:pPr>
              <w:spacing w:line="400" w:lineRule="exact"/>
              <w:ind w:firstLine="480" w:firstLineChars="200"/>
              <w:rPr>
                <w:rFonts w:ascii="新宋体" w:hAnsi="新宋体" w:eastAsia="新宋体" w:cs="新宋体"/>
                <w:bCs/>
                <w:sz w:val="24"/>
              </w:rPr>
            </w:pPr>
            <w:r>
              <w:rPr>
                <w:rFonts w:hint="eastAsia" w:ascii="新宋体" w:hAnsi="新宋体" w:eastAsia="新宋体" w:cs="新宋体"/>
                <w:bCs/>
                <w:sz w:val="24"/>
              </w:rPr>
              <w:t>b.已标价报价清单说明文字与招标文件规定一致，未进行实质性修改和删减；</w:t>
            </w:r>
          </w:p>
          <w:p>
            <w:pPr>
              <w:spacing w:line="400" w:lineRule="exact"/>
              <w:ind w:firstLine="480" w:firstLineChars="200"/>
              <w:rPr>
                <w:rFonts w:ascii="新宋体" w:hAnsi="新宋体" w:eastAsia="新宋体" w:cs="新宋体"/>
                <w:bCs/>
                <w:sz w:val="24"/>
              </w:rPr>
            </w:pPr>
            <w:r>
              <w:rPr>
                <w:rFonts w:hint="eastAsia" w:ascii="新宋体" w:hAnsi="新宋体" w:eastAsia="新宋体" w:cs="新宋体"/>
                <w:bCs/>
                <w:sz w:val="24"/>
              </w:rPr>
              <w:t>c.投标文件组成齐全完整，内容均按规定填写。</w:t>
            </w:r>
          </w:p>
          <w:p>
            <w:pPr>
              <w:spacing w:line="400" w:lineRule="exact"/>
              <w:ind w:firstLine="480" w:firstLineChars="200"/>
              <w:rPr>
                <w:rFonts w:ascii="新宋体" w:hAnsi="新宋体" w:eastAsia="新宋体" w:cs="新宋体"/>
                <w:bCs/>
                <w:sz w:val="24"/>
              </w:rPr>
            </w:pPr>
            <w:r>
              <w:rPr>
                <w:rFonts w:hint="eastAsia" w:ascii="新宋体" w:hAnsi="新宋体" w:eastAsia="新宋体" w:cs="新宋体"/>
                <w:bCs/>
                <w:sz w:val="24"/>
              </w:rPr>
              <w:t>（2）投标文件上法定代表人或其委托代理人的签字、投标人的单位章盖章齐全，符合招标文件规定。</w:t>
            </w:r>
          </w:p>
          <w:p>
            <w:pPr>
              <w:spacing w:line="400" w:lineRule="exact"/>
              <w:ind w:firstLine="480" w:firstLineChars="200"/>
              <w:rPr>
                <w:rFonts w:ascii="新宋体" w:hAnsi="新宋体" w:eastAsia="新宋体" w:cs="新宋体"/>
                <w:bCs/>
                <w:sz w:val="24"/>
              </w:rPr>
            </w:pPr>
            <w:r>
              <w:rPr>
                <w:rFonts w:hint="eastAsia" w:ascii="新宋体" w:hAnsi="新宋体" w:eastAsia="新宋体" w:cs="新宋体"/>
                <w:bCs/>
                <w:sz w:val="24"/>
              </w:rPr>
              <w:t>（3）投标报价未超过招标文件设定的最高投标限价。</w:t>
            </w:r>
          </w:p>
          <w:p>
            <w:pPr>
              <w:spacing w:line="400" w:lineRule="exact"/>
              <w:ind w:firstLine="480" w:firstLineChars="200"/>
              <w:rPr>
                <w:rFonts w:ascii="新宋体" w:hAnsi="新宋体" w:eastAsia="新宋体" w:cs="新宋体"/>
                <w:bCs/>
                <w:sz w:val="24"/>
              </w:rPr>
            </w:pPr>
            <w:r>
              <w:rPr>
                <w:rFonts w:hint="eastAsia" w:ascii="新宋体" w:hAnsi="新宋体" w:eastAsia="新宋体" w:cs="新宋体"/>
                <w:bCs/>
                <w:sz w:val="24"/>
              </w:rPr>
              <w:t>（4）投标报价的大写金额能够确定具体数值。</w:t>
            </w:r>
          </w:p>
          <w:p>
            <w:pPr>
              <w:spacing w:line="400" w:lineRule="exact"/>
              <w:ind w:firstLine="480" w:firstLineChars="200"/>
              <w:rPr>
                <w:rFonts w:ascii="新宋体" w:hAnsi="新宋体" w:eastAsia="新宋体" w:cs="新宋体"/>
                <w:bCs/>
                <w:sz w:val="24"/>
              </w:rPr>
            </w:pPr>
            <w:r>
              <w:rPr>
                <w:rFonts w:hint="eastAsia" w:ascii="新宋体" w:hAnsi="新宋体" w:eastAsia="新宋体" w:cs="新宋体"/>
                <w:bCs/>
                <w:sz w:val="24"/>
              </w:rPr>
              <w:t>（5）同一投标人未提交两个以上不同的投标报价，但招标文件要求提交备选投标的除外。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89" w:type="dxa"/>
            <w:gridSpan w:val="2"/>
            <w:tcBorders>
              <w:top w:val="single" w:color="auto" w:sz="4" w:space="0"/>
              <w:right w:val="single" w:color="auto" w:sz="4" w:space="0"/>
            </w:tcBorders>
            <w:vAlign w:val="center"/>
          </w:tcPr>
          <w:p>
            <w:pPr>
              <w:spacing w:line="400" w:lineRule="exact"/>
              <w:jc w:val="center"/>
              <w:rPr>
                <w:rFonts w:ascii="新宋体" w:hAnsi="新宋体" w:eastAsia="新宋体" w:cs="新宋体"/>
                <w:bCs/>
                <w:sz w:val="24"/>
              </w:rPr>
            </w:pPr>
            <w:r>
              <w:rPr>
                <w:rFonts w:hint="eastAsia" w:ascii="新宋体" w:hAnsi="新宋体" w:eastAsia="新宋体" w:cs="新宋体"/>
                <w:bCs/>
                <w:sz w:val="24"/>
              </w:rPr>
              <w:t>2.1.2</w:t>
            </w:r>
          </w:p>
        </w:tc>
        <w:tc>
          <w:tcPr>
            <w:tcW w:w="1012" w:type="dxa"/>
            <w:tcBorders>
              <w:top w:val="single" w:color="auto" w:sz="4" w:space="0"/>
              <w:right w:val="single" w:color="auto" w:sz="4" w:space="0"/>
            </w:tcBorders>
            <w:vAlign w:val="center"/>
          </w:tcPr>
          <w:p>
            <w:pPr>
              <w:spacing w:line="400" w:lineRule="exact"/>
              <w:jc w:val="center"/>
              <w:rPr>
                <w:rFonts w:ascii="新宋体" w:hAnsi="新宋体" w:eastAsia="新宋体" w:cs="新宋体"/>
                <w:bCs/>
                <w:sz w:val="24"/>
              </w:rPr>
            </w:pPr>
            <w:r>
              <w:rPr>
                <w:rFonts w:hint="eastAsia" w:ascii="新宋体" w:hAnsi="新宋体" w:eastAsia="新宋体" w:cs="新宋体"/>
                <w:bCs/>
                <w:sz w:val="24"/>
              </w:rPr>
              <w:t>资格评审标准</w:t>
            </w:r>
          </w:p>
        </w:tc>
        <w:tc>
          <w:tcPr>
            <w:tcW w:w="6890" w:type="dxa"/>
            <w:gridSpan w:val="4"/>
            <w:tcBorders>
              <w:top w:val="single" w:color="auto" w:sz="4" w:space="0"/>
              <w:left w:val="single" w:color="auto" w:sz="4" w:space="0"/>
              <w:right w:val="single" w:color="auto" w:sz="4" w:space="0"/>
            </w:tcBorders>
            <w:vAlign w:val="center"/>
          </w:tcPr>
          <w:p>
            <w:pPr>
              <w:spacing w:line="380" w:lineRule="exact"/>
              <w:rPr>
                <w:rFonts w:ascii="新宋体" w:hAnsi="新宋体" w:eastAsia="新宋体" w:cs="新宋体"/>
                <w:bCs/>
                <w:sz w:val="24"/>
              </w:rPr>
            </w:pPr>
            <w:r>
              <w:rPr>
                <w:rFonts w:hint="eastAsia" w:ascii="新宋体" w:hAnsi="新宋体" w:eastAsia="新宋体" w:cs="新宋体"/>
                <w:bCs/>
                <w:sz w:val="24"/>
              </w:rPr>
              <w:t>（1）投标人具备有效的营业执照、设计资质证书和基本账户开户许可证（或基本开户许可证明）。</w:t>
            </w:r>
          </w:p>
          <w:p>
            <w:pPr>
              <w:spacing w:line="380" w:lineRule="exact"/>
              <w:rPr>
                <w:rFonts w:ascii="新宋体" w:hAnsi="新宋体" w:eastAsia="新宋体" w:cs="新宋体"/>
                <w:bCs/>
                <w:sz w:val="24"/>
              </w:rPr>
            </w:pPr>
            <w:r>
              <w:rPr>
                <w:rFonts w:hint="eastAsia" w:ascii="新宋体" w:hAnsi="新宋体" w:eastAsia="新宋体" w:cs="新宋体"/>
                <w:bCs/>
                <w:sz w:val="24"/>
              </w:rPr>
              <w:t>（2）投标人的资质等级符合招标文件规定。</w:t>
            </w:r>
          </w:p>
          <w:p>
            <w:pPr>
              <w:spacing w:line="380" w:lineRule="exact"/>
              <w:rPr>
                <w:rFonts w:ascii="新宋体" w:hAnsi="新宋体" w:eastAsia="新宋体" w:cs="新宋体"/>
                <w:bCs/>
                <w:sz w:val="24"/>
              </w:rPr>
            </w:pPr>
            <w:r>
              <w:rPr>
                <w:rFonts w:hint="eastAsia" w:ascii="新宋体" w:hAnsi="新宋体" w:eastAsia="新宋体" w:cs="新宋体"/>
                <w:bCs/>
                <w:sz w:val="24"/>
              </w:rPr>
              <w:t>（3）投标人的类似项目业绩符合招标文件规定。</w:t>
            </w:r>
          </w:p>
          <w:p>
            <w:pPr>
              <w:spacing w:line="380" w:lineRule="exact"/>
              <w:rPr>
                <w:rFonts w:ascii="新宋体" w:hAnsi="新宋体" w:eastAsia="新宋体" w:cs="新宋体"/>
                <w:bCs/>
                <w:sz w:val="24"/>
              </w:rPr>
            </w:pPr>
            <w:r>
              <w:rPr>
                <w:rFonts w:hint="eastAsia" w:ascii="新宋体" w:hAnsi="新宋体" w:eastAsia="新宋体" w:cs="新宋体"/>
                <w:bCs/>
                <w:sz w:val="24"/>
              </w:rPr>
              <w:t>（4）投标人的信誉符合招标文件规定。</w:t>
            </w:r>
          </w:p>
          <w:p>
            <w:pPr>
              <w:spacing w:line="380" w:lineRule="exact"/>
              <w:rPr>
                <w:rFonts w:ascii="新宋体" w:hAnsi="新宋体" w:eastAsia="新宋体" w:cs="新宋体"/>
                <w:bCs/>
                <w:sz w:val="24"/>
              </w:rPr>
            </w:pPr>
            <w:r>
              <w:rPr>
                <w:rFonts w:hint="eastAsia" w:ascii="新宋体" w:hAnsi="新宋体" w:eastAsia="新宋体" w:cs="新宋体"/>
                <w:bCs/>
                <w:sz w:val="24"/>
              </w:rPr>
              <w:t>（5）投标人的项目负责人资格符合招标文件规定。</w:t>
            </w:r>
          </w:p>
          <w:p>
            <w:pPr>
              <w:spacing w:line="380" w:lineRule="exact"/>
              <w:rPr>
                <w:rFonts w:ascii="新宋体" w:hAnsi="新宋体" w:eastAsia="新宋体" w:cs="新宋体"/>
                <w:bCs/>
                <w:sz w:val="24"/>
              </w:rPr>
            </w:pPr>
            <w:r>
              <w:rPr>
                <w:rFonts w:hint="eastAsia" w:ascii="新宋体" w:hAnsi="新宋体" w:eastAsia="新宋体" w:cs="新宋体"/>
                <w:bCs/>
                <w:sz w:val="24"/>
              </w:rPr>
              <w:t>（6）投标人不存在第二章“投标人须知”第1.4.3项或第1.4.4项规定的任何一种情形。</w:t>
            </w:r>
          </w:p>
          <w:p>
            <w:pPr>
              <w:spacing w:line="380" w:lineRule="exact"/>
              <w:rPr>
                <w:rFonts w:ascii="新宋体" w:hAnsi="新宋体" w:eastAsia="新宋体" w:cs="新宋体"/>
                <w:bCs/>
                <w:sz w:val="24"/>
              </w:rPr>
            </w:pPr>
            <w:r>
              <w:rPr>
                <w:rFonts w:hint="eastAsia" w:ascii="新宋体" w:hAnsi="新宋体" w:eastAsia="新宋体" w:cs="新宋体"/>
                <w:bCs/>
                <w:sz w:val="24"/>
              </w:rPr>
              <w:t>（7）投标人符合第二章“投标人须知”第1.4.5项规定。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89" w:type="dxa"/>
            <w:gridSpan w:val="2"/>
            <w:tcBorders>
              <w:top w:val="single" w:color="auto" w:sz="4" w:space="0"/>
              <w:right w:val="single" w:color="auto" w:sz="4" w:space="0"/>
            </w:tcBorders>
            <w:vAlign w:val="center"/>
          </w:tcPr>
          <w:p>
            <w:pPr>
              <w:spacing w:line="400" w:lineRule="exact"/>
              <w:jc w:val="center"/>
              <w:rPr>
                <w:rFonts w:ascii="新宋体" w:hAnsi="新宋体" w:eastAsia="新宋体" w:cs="新宋体"/>
                <w:sz w:val="24"/>
              </w:rPr>
            </w:pPr>
            <w:r>
              <w:rPr>
                <w:rFonts w:hint="eastAsia" w:ascii="新宋体" w:hAnsi="新宋体" w:eastAsia="新宋体" w:cs="新宋体"/>
                <w:sz w:val="24"/>
              </w:rPr>
              <w:t>2.2.1</w:t>
            </w:r>
          </w:p>
        </w:tc>
        <w:tc>
          <w:tcPr>
            <w:tcW w:w="1012" w:type="dxa"/>
            <w:tcBorders>
              <w:top w:val="single" w:color="auto" w:sz="4" w:space="0"/>
              <w:right w:val="single" w:color="auto" w:sz="4" w:space="0"/>
            </w:tcBorders>
            <w:vAlign w:val="center"/>
          </w:tcPr>
          <w:p>
            <w:pPr>
              <w:spacing w:line="400" w:lineRule="exact"/>
              <w:jc w:val="center"/>
              <w:rPr>
                <w:rFonts w:ascii="新宋体" w:hAnsi="新宋体" w:eastAsia="新宋体" w:cs="新宋体"/>
                <w:sz w:val="24"/>
              </w:rPr>
            </w:pPr>
            <w:r>
              <w:rPr>
                <w:rFonts w:hint="eastAsia" w:ascii="新宋体" w:hAnsi="新宋体" w:eastAsia="新宋体" w:cs="新宋体"/>
                <w:sz w:val="24"/>
              </w:rPr>
              <w:t>分值构成</w:t>
            </w:r>
          </w:p>
          <w:p>
            <w:pPr>
              <w:spacing w:line="400" w:lineRule="exact"/>
              <w:jc w:val="center"/>
              <w:rPr>
                <w:rFonts w:ascii="新宋体" w:hAnsi="新宋体" w:eastAsia="新宋体" w:cs="新宋体"/>
                <w:sz w:val="24"/>
              </w:rPr>
            </w:pPr>
            <w:r>
              <w:rPr>
                <w:rFonts w:hint="eastAsia" w:ascii="新宋体" w:hAnsi="新宋体" w:eastAsia="新宋体" w:cs="新宋体"/>
                <w:sz w:val="24"/>
              </w:rPr>
              <w:t>（总分100分）</w:t>
            </w:r>
          </w:p>
        </w:tc>
        <w:tc>
          <w:tcPr>
            <w:tcW w:w="6890" w:type="dxa"/>
            <w:gridSpan w:val="4"/>
            <w:tcBorders>
              <w:top w:val="single" w:color="auto" w:sz="4" w:space="0"/>
              <w:left w:val="single" w:color="auto" w:sz="4" w:space="0"/>
              <w:right w:val="single" w:color="auto" w:sz="4" w:space="0"/>
            </w:tcBorders>
            <w:vAlign w:val="center"/>
          </w:tcPr>
          <w:p>
            <w:pPr>
              <w:spacing w:line="380" w:lineRule="exact"/>
              <w:rPr>
                <w:rFonts w:ascii="新宋体" w:hAnsi="新宋体" w:eastAsia="新宋体" w:cs="新宋体"/>
                <w:bCs/>
                <w:sz w:val="24"/>
              </w:rPr>
            </w:pPr>
            <w:r>
              <w:rPr>
                <w:rFonts w:hint="eastAsia" w:ascii="新宋体" w:hAnsi="新宋体" w:eastAsia="新宋体" w:cs="新宋体"/>
                <w:bCs/>
                <w:sz w:val="24"/>
              </w:rPr>
              <w:t>第一个信封（商务及技术文件）评分分值构成：</w:t>
            </w:r>
          </w:p>
          <w:p>
            <w:pPr>
              <w:spacing w:line="380" w:lineRule="exact"/>
              <w:rPr>
                <w:rFonts w:ascii="新宋体" w:hAnsi="新宋体" w:eastAsia="新宋体" w:cs="新宋体"/>
                <w:sz w:val="24"/>
              </w:rPr>
            </w:pPr>
            <w:r>
              <w:rPr>
                <w:rFonts w:hint="eastAsia" w:ascii="新宋体" w:hAnsi="新宋体" w:eastAsia="新宋体" w:cs="新宋体"/>
                <w:sz w:val="24"/>
              </w:rPr>
              <w:t>技术建议书：</w:t>
            </w:r>
            <w:r>
              <w:rPr>
                <w:rFonts w:hint="eastAsia" w:ascii="新宋体" w:hAnsi="新宋体" w:eastAsia="新宋体" w:cs="新宋体"/>
                <w:sz w:val="24"/>
                <w:u w:val="single"/>
              </w:rPr>
              <w:t xml:space="preserve"> 40 </w:t>
            </w:r>
            <w:r>
              <w:rPr>
                <w:rFonts w:hint="eastAsia" w:ascii="新宋体" w:hAnsi="新宋体" w:eastAsia="新宋体" w:cs="新宋体"/>
                <w:sz w:val="24"/>
              </w:rPr>
              <w:t>分</w:t>
            </w:r>
          </w:p>
          <w:p>
            <w:pPr>
              <w:spacing w:line="380" w:lineRule="exact"/>
              <w:rPr>
                <w:rFonts w:ascii="新宋体" w:hAnsi="新宋体" w:eastAsia="新宋体" w:cs="新宋体"/>
                <w:sz w:val="24"/>
              </w:rPr>
            </w:pPr>
            <w:r>
              <w:rPr>
                <w:rFonts w:hint="eastAsia" w:ascii="新宋体" w:hAnsi="新宋体" w:eastAsia="新宋体" w:cs="新宋体"/>
                <w:sz w:val="24"/>
              </w:rPr>
              <w:t>主要人员：</w:t>
            </w:r>
            <w:r>
              <w:rPr>
                <w:rFonts w:hint="eastAsia" w:ascii="新宋体" w:hAnsi="新宋体" w:eastAsia="新宋体" w:cs="新宋体"/>
                <w:sz w:val="24"/>
                <w:u w:val="single"/>
              </w:rPr>
              <w:t xml:space="preserve"> 20 </w:t>
            </w:r>
            <w:r>
              <w:rPr>
                <w:rFonts w:hint="eastAsia" w:ascii="新宋体" w:hAnsi="新宋体" w:eastAsia="新宋体" w:cs="新宋体"/>
                <w:sz w:val="24"/>
              </w:rPr>
              <w:t>分</w:t>
            </w:r>
          </w:p>
          <w:p>
            <w:pPr>
              <w:spacing w:line="380" w:lineRule="exact"/>
              <w:rPr>
                <w:rFonts w:ascii="新宋体" w:hAnsi="新宋体" w:eastAsia="新宋体" w:cs="新宋体"/>
                <w:sz w:val="24"/>
              </w:rPr>
            </w:pPr>
            <w:r>
              <w:rPr>
                <w:rFonts w:hint="eastAsia" w:ascii="新宋体" w:hAnsi="新宋体" w:eastAsia="新宋体" w:cs="新宋体"/>
                <w:sz w:val="24"/>
              </w:rPr>
              <w:t>业绩：</w:t>
            </w:r>
            <w:r>
              <w:rPr>
                <w:rFonts w:hint="eastAsia" w:ascii="新宋体" w:hAnsi="新宋体" w:eastAsia="新宋体" w:cs="新宋体"/>
                <w:sz w:val="24"/>
                <w:u w:val="single"/>
              </w:rPr>
              <w:t xml:space="preserve"> 20 </w:t>
            </w:r>
            <w:r>
              <w:rPr>
                <w:rFonts w:hint="eastAsia" w:ascii="新宋体" w:hAnsi="新宋体" w:eastAsia="新宋体" w:cs="新宋体"/>
                <w:sz w:val="24"/>
              </w:rPr>
              <w:t>分</w:t>
            </w:r>
          </w:p>
          <w:p>
            <w:pPr>
              <w:spacing w:line="380" w:lineRule="exact"/>
              <w:rPr>
                <w:rFonts w:ascii="新宋体" w:hAnsi="新宋体" w:eastAsia="新宋体" w:cs="新宋体"/>
                <w:sz w:val="24"/>
              </w:rPr>
            </w:pPr>
            <w:r>
              <w:rPr>
                <w:rFonts w:hint="eastAsia" w:ascii="新宋体" w:hAnsi="新宋体" w:eastAsia="新宋体" w:cs="新宋体"/>
                <w:sz w:val="24"/>
              </w:rPr>
              <w:t>技术能力：</w:t>
            </w:r>
            <w:r>
              <w:rPr>
                <w:rFonts w:hint="eastAsia" w:ascii="新宋体" w:hAnsi="新宋体" w:eastAsia="新宋体" w:cs="新宋体"/>
                <w:sz w:val="24"/>
                <w:u w:val="single"/>
              </w:rPr>
              <w:t xml:space="preserve"> 5 </w:t>
            </w:r>
            <w:r>
              <w:rPr>
                <w:rFonts w:hint="eastAsia" w:ascii="新宋体" w:hAnsi="新宋体" w:eastAsia="新宋体" w:cs="新宋体"/>
                <w:sz w:val="24"/>
              </w:rPr>
              <w:t>分</w:t>
            </w:r>
          </w:p>
          <w:p>
            <w:pPr>
              <w:spacing w:line="380" w:lineRule="exact"/>
              <w:rPr>
                <w:rFonts w:ascii="新宋体" w:hAnsi="新宋体" w:eastAsia="新宋体" w:cs="新宋体"/>
                <w:sz w:val="24"/>
              </w:rPr>
            </w:pPr>
            <w:r>
              <w:rPr>
                <w:rFonts w:hint="eastAsia" w:ascii="新宋体" w:hAnsi="新宋体" w:eastAsia="新宋体" w:cs="新宋体"/>
                <w:sz w:val="24"/>
              </w:rPr>
              <w:t>履约信誉：</w:t>
            </w:r>
            <w:r>
              <w:rPr>
                <w:rFonts w:hint="eastAsia" w:ascii="新宋体" w:hAnsi="新宋体" w:eastAsia="新宋体" w:cs="新宋体"/>
                <w:sz w:val="24"/>
                <w:u w:val="single"/>
              </w:rPr>
              <w:t xml:space="preserve"> 5 </w:t>
            </w:r>
            <w:r>
              <w:rPr>
                <w:rFonts w:hint="eastAsia" w:ascii="新宋体" w:hAnsi="新宋体" w:eastAsia="新宋体" w:cs="新宋体"/>
                <w:sz w:val="24"/>
              </w:rPr>
              <w:t>分</w:t>
            </w:r>
          </w:p>
          <w:p>
            <w:pPr>
              <w:spacing w:line="380" w:lineRule="exact"/>
              <w:rPr>
                <w:rFonts w:ascii="新宋体" w:hAnsi="新宋体" w:eastAsia="新宋体" w:cs="新宋体"/>
                <w:bCs/>
                <w:sz w:val="24"/>
              </w:rPr>
            </w:pPr>
            <w:r>
              <w:rPr>
                <w:rFonts w:hint="eastAsia" w:ascii="新宋体" w:hAnsi="新宋体" w:eastAsia="新宋体" w:cs="新宋体"/>
                <w:bCs/>
                <w:sz w:val="24"/>
              </w:rPr>
              <w:t>第二个信封（报价文件）评分分值构成：</w:t>
            </w:r>
          </w:p>
          <w:p>
            <w:pPr>
              <w:spacing w:line="380" w:lineRule="exact"/>
              <w:rPr>
                <w:rFonts w:ascii="新宋体" w:hAnsi="新宋体" w:eastAsia="新宋体" w:cs="新宋体"/>
                <w:sz w:val="24"/>
              </w:rPr>
            </w:pPr>
            <w:r>
              <w:rPr>
                <w:rFonts w:hint="eastAsia" w:ascii="新宋体" w:hAnsi="新宋体" w:eastAsia="新宋体" w:cs="新宋体"/>
                <w:sz w:val="24"/>
              </w:rPr>
              <w:t>评标价：</w:t>
            </w:r>
            <w:r>
              <w:rPr>
                <w:rFonts w:hint="eastAsia" w:ascii="新宋体" w:hAnsi="新宋体" w:eastAsia="新宋体" w:cs="新宋体"/>
                <w:sz w:val="24"/>
                <w:u w:val="single"/>
              </w:rPr>
              <w:t xml:space="preserve"> 10 </w:t>
            </w:r>
            <w:r>
              <w:rPr>
                <w:rFonts w:hint="eastAsia" w:ascii="新宋体" w:hAnsi="新宋体" w:eastAsia="新宋体" w:cs="新宋体"/>
                <w:sz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25" w:hRule="atLeast"/>
        </w:trPr>
        <w:tc>
          <w:tcPr>
            <w:tcW w:w="989" w:type="dxa"/>
            <w:gridSpan w:val="2"/>
            <w:tcBorders>
              <w:top w:val="single" w:color="auto" w:sz="4" w:space="0"/>
              <w:right w:val="single" w:color="auto" w:sz="4" w:space="0"/>
            </w:tcBorders>
            <w:vAlign w:val="center"/>
          </w:tcPr>
          <w:p>
            <w:pPr>
              <w:spacing w:line="400" w:lineRule="exact"/>
              <w:jc w:val="center"/>
              <w:rPr>
                <w:rFonts w:ascii="新宋体" w:hAnsi="新宋体" w:eastAsia="新宋体" w:cs="新宋体"/>
                <w:sz w:val="24"/>
              </w:rPr>
            </w:pPr>
            <w:r>
              <w:rPr>
                <w:rFonts w:hint="eastAsia" w:ascii="新宋体" w:hAnsi="新宋体" w:eastAsia="新宋体" w:cs="新宋体"/>
                <w:sz w:val="24"/>
              </w:rPr>
              <w:t>2.2.2</w:t>
            </w:r>
          </w:p>
        </w:tc>
        <w:tc>
          <w:tcPr>
            <w:tcW w:w="1012" w:type="dxa"/>
            <w:tcBorders>
              <w:top w:val="single" w:color="auto" w:sz="4" w:space="0"/>
              <w:right w:val="single" w:color="auto" w:sz="4" w:space="0"/>
            </w:tcBorders>
            <w:vAlign w:val="center"/>
          </w:tcPr>
          <w:p>
            <w:pPr>
              <w:spacing w:line="400" w:lineRule="exact"/>
              <w:jc w:val="center"/>
              <w:rPr>
                <w:rFonts w:ascii="新宋体" w:hAnsi="新宋体" w:eastAsia="新宋体" w:cs="新宋体"/>
                <w:sz w:val="24"/>
              </w:rPr>
            </w:pPr>
            <w:r>
              <w:rPr>
                <w:rFonts w:hint="eastAsia" w:ascii="新宋体" w:hAnsi="新宋体" w:eastAsia="新宋体" w:cs="新宋体"/>
                <w:sz w:val="24"/>
              </w:rPr>
              <w:t>评标基准价计算方法</w:t>
            </w:r>
          </w:p>
        </w:tc>
        <w:tc>
          <w:tcPr>
            <w:tcW w:w="6890" w:type="dxa"/>
            <w:gridSpan w:val="4"/>
            <w:tcBorders>
              <w:top w:val="single" w:color="auto" w:sz="4" w:space="0"/>
              <w:left w:val="single" w:color="auto" w:sz="4" w:space="0"/>
              <w:right w:val="single" w:color="auto" w:sz="4" w:space="0"/>
            </w:tcBorders>
            <w:vAlign w:val="center"/>
          </w:tcPr>
          <w:p>
            <w:pPr>
              <w:spacing w:line="380" w:lineRule="exact"/>
              <w:jc w:val="left"/>
              <w:rPr>
                <w:rFonts w:ascii="新宋体" w:hAnsi="新宋体" w:eastAsia="新宋体" w:cs="新宋体"/>
                <w:sz w:val="24"/>
              </w:rPr>
            </w:pPr>
            <w:r>
              <w:rPr>
                <w:rFonts w:hint="eastAsia" w:ascii="新宋体" w:hAnsi="新宋体" w:eastAsia="新宋体" w:cs="新宋体"/>
                <w:sz w:val="24"/>
              </w:rPr>
              <w:t>评标基准价的计算：</w:t>
            </w:r>
          </w:p>
          <w:p>
            <w:pPr>
              <w:spacing w:line="380" w:lineRule="exact"/>
              <w:jc w:val="left"/>
              <w:rPr>
                <w:rFonts w:ascii="新宋体" w:hAnsi="新宋体" w:eastAsia="新宋体" w:cs="新宋体"/>
                <w:sz w:val="24"/>
              </w:rPr>
            </w:pPr>
            <w:r>
              <w:rPr>
                <w:rFonts w:hint="eastAsia" w:ascii="新宋体" w:hAnsi="新宋体" w:eastAsia="新宋体" w:cs="新宋体"/>
                <w:sz w:val="24"/>
              </w:rPr>
              <w:t>在开标现场，招标人将当场计算并宣布评标基准价。</w:t>
            </w:r>
          </w:p>
          <w:p>
            <w:pPr>
              <w:spacing w:line="380" w:lineRule="exact"/>
              <w:jc w:val="left"/>
              <w:rPr>
                <w:rFonts w:ascii="新宋体" w:hAnsi="新宋体" w:eastAsia="新宋体" w:cs="新宋体"/>
                <w:sz w:val="24"/>
              </w:rPr>
            </w:pPr>
            <w:r>
              <w:rPr>
                <w:rFonts w:hint="eastAsia" w:ascii="新宋体" w:hAnsi="新宋体" w:eastAsia="新宋体" w:cs="新宋体"/>
                <w:sz w:val="24"/>
              </w:rPr>
              <w:t>（1）评标价的确定：</w:t>
            </w:r>
          </w:p>
          <w:p>
            <w:pPr>
              <w:spacing w:line="380" w:lineRule="exact"/>
              <w:jc w:val="left"/>
              <w:rPr>
                <w:rFonts w:ascii="新宋体" w:hAnsi="新宋体" w:eastAsia="新宋体" w:cs="新宋体"/>
                <w:sz w:val="24"/>
              </w:rPr>
            </w:pPr>
            <w:r>
              <w:rPr>
                <w:rFonts w:hint="eastAsia" w:ascii="新宋体" w:hAnsi="新宋体" w:eastAsia="新宋体" w:cs="新宋体"/>
                <w:sz w:val="24"/>
              </w:rPr>
              <w:t>评标价＝投标函文字报价</w:t>
            </w:r>
          </w:p>
          <w:p>
            <w:pPr>
              <w:spacing w:line="380" w:lineRule="exact"/>
              <w:jc w:val="left"/>
              <w:rPr>
                <w:rFonts w:ascii="新宋体" w:hAnsi="新宋体" w:eastAsia="新宋体" w:cs="新宋体"/>
                <w:sz w:val="24"/>
              </w:rPr>
            </w:pPr>
            <w:r>
              <w:rPr>
                <w:rFonts w:hint="eastAsia" w:ascii="新宋体" w:hAnsi="新宋体" w:eastAsia="新宋体" w:cs="新宋体"/>
                <w:sz w:val="24"/>
              </w:rPr>
              <w:t>（2）评标价平均值的计算：</w:t>
            </w:r>
          </w:p>
          <w:p>
            <w:pPr>
              <w:spacing w:line="380" w:lineRule="exact"/>
              <w:jc w:val="left"/>
              <w:rPr>
                <w:rFonts w:ascii="新宋体" w:hAnsi="新宋体" w:eastAsia="新宋体" w:cs="新宋体"/>
                <w:sz w:val="24"/>
              </w:rPr>
            </w:pPr>
            <w:r>
              <w:rPr>
                <w:rFonts w:hint="eastAsia" w:ascii="新宋体" w:hAnsi="新宋体" w:eastAsia="新宋体" w:cs="新宋体"/>
                <w:sz w:val="24"/>
              </w:rPr>
              <w:t>除按第二章“投标人须知”第5.2.4项规定开标现场被宣布为不进入评标基准价计算的投标报价之外，所有投标人的评标价去掉一个最高值和一个最低值后的算术平均值即为评标价平均值（如果参与评标价平均值计算的有效投标人少于5家时，则计算评标价平均值时不去掉最高值和最低值）。</w:t>
            </w:r>
          </w:p>
          <w:p>
            <w:pPr>
              <w:spacing w:line="380" w:lineRule="exact"/>
              <w:jc w:val="left"/>
              <w:rPr>
                <w:rFonts w:ascii="新宋体" w:hAnsi="新宋体" w:eastAsia="新宋体" w:cs="新宋体"/>
                <w:sz w:val="24"/>
              </w:rPr>
            </w:pPr>
            <w:r>
              <w:rPr>
                <w:rFonts w:hint="eastAsia" w:ascii="新宋体" w:hAnsi="新宋体" w:eastAsia="新宋体" w:cs="新宋体"/>
                <w:sz w:val="24"/>
              </w:rPr>
              <w:t>（3）评标基准价的确定：将评标价平均值直接作为评标基准价。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89" w:type="dxa"/>
            <w:gridSpan w:val="2"/>
            <w:tcBorders>
              <w:top w:val="single" w:color="auto" w:sz="4" w:space="0"/>
              <w:right w:val="single" w:color="auto" w:sz="4" w:space="0"/>
            </w:tcBorders>
            <w:vAlign w:val="center"/>
          </w:tcPr>
          <w:p>
            <w:pPr>
              <w:spacing w:line="400" w:lineRule="exact"/>
              <w:jc w:val="center"/>
              <w:rPr>
                <w:rFonts w:ascii="新宋体" w:hAnsi="新宋体" w:eastAsia="新宋体" w:cs="新宋体"/>
                <w:sz w:val="24"/>
              </w:rPr>
            </w:pPr>
            <w:r>
              <w:rPr>
                <w:rFonts w:hint="eastAsia" w:ascii="新宋体" w:hAnsi="新宋体" w:eastAsia="新宋体" w:cs="新宋体"/>
                <w:sz w:val="24"/>
              </w:rPr>
              <w:t>2.2.3</w:t>
            </w:r>
          </w:p>
        </w:tc>
        <w:tc>
          <w:tcPr>
            <w:tcW w:w="1012" w:type="dxa"/>
            <w:tcBorders>
              <w:top w:val="single" w:color="auto" w:sz="4" w:space="0"/>
              <w:right w:val="single" w:color="auto" w:sz="4" w:space="0"/>
            </w:tcBorders>
            <w:vAlign w:val="center"/>
          </w:tcPr>
          <w:p>
            <w:pPr>
              <w:spacing w:line="400" w:lineRule="exact"/>
              <w:jc w:val="center"/>
              <w:rPr>
                <w:rFonts w:ascii="新宋体" w:hAnsi="新宋体" w:eastAsia="新宋体" w:cs="新宋体"/>
                <w:sz w:val="24"/>
              </w:rPr>
            </w:pPr>
            <w:r>
              <w:rPr>
                <w:rFonts w:hint="eastAsia" w:ascii="新宋体" w:hAnsi="新宋体" w:eastAsia="新宋体" w:cs="新宋体"/>
                <w:sz w:val="24"/>
              </w:rPr>
              <w:t>评标价的偏差率计算公式</w:t>
            </w:r>
          </w:p>
        </w:tc>
        <w:tc>
          <w:tcPr>
            <w:tcW w:w="6890" w:type="dxa"/>
            <w:gridSpan w:val="4"/>
            <w:tcBorders>
              <w:top w:val="single" w:color="auto" w:sz="4" w:space="0"/>
              <w:left w:val="single" w:color="auto" w:sz="4" w:space="0"/>
              <w:right w:val="single" w:color="auto" w:sz="4" w:space="0"/>
            </w:tcBorders>
            <w:vAlign w:val="center"/>
          </w:tcPr>
          <w:p>
            <w:pPr>
              <w:spacing w:line="400" w:lineRule="exact"/>
              <w:rPr>
                <w:rFonts w:ascii="新宋体" w:hAnsi="新宋体" w:eastAsia="新宋体" w:cs="新宋体"/>
                <w:sz w:val="24"/>
              </w:rPr>
            </w:pPr>
            <w:r>
              <w:rPr>
                <w:rFonts w:hint="eastAsia" w:ascii="新宋体" w:hAnsi="新宋体" w:eastAsia="新宋体" w:cs="新宋体"/>
                <w:sz w:val="24"/>
              </w:rPr>
              <w:t>偏差率=100% ×（投标人评标价－评标基准价）/评标基准价</w:t>
            </w:r>
          </w:p>
          <w:p>
            <w:pPr>
              <w:spacing w:line="400" w:lineRule="exact"/>
              <w:rPr>
                <w:rFonts w:ascii="新宋体" w:hAnsi="新宋体" w:eastAsia="新宋体" w:cs="新宋体"/>
                <w:b/>
                <w:sz w:val="24"/>
              </w:rPr>
            </w:pPr>
            <w:r>
              <w:rPr>
                <w:rFonts w:hint="eastAsia" w:ascii="新宋体" w:hAnsi="新宋体" w:eastAsia="新宋体" w:cs="新宋体"/>
                <w:sz w:val="24"/>
              </w:rPr>
              <w:t>偏差率保留</w:t>
            </w:r>
            <w:r>
              <w:rPr>
                <w:rFonts w:hint="eastAsia" w:ascii="新宋体" w:hAnsi="新宋体" w:eastAsia="新宋体" w:cs="新宋体"/>
                <w:sz w:val="24"/>
                <w:u w:val="single"/>
              </w:rPr>
              <w:t xml:space="preserve"> 2 </w:t>
            </w:r>
            <w:r>
              <w:rPr>
                <w:rFonts w:hint="eastAsia" w:ascii="新宋体" w:hAnsi="新宋体" w:eastAsia="新宋体" w:cs="新宋体"/>
                <w:sz w:val="24"/>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98" w:type="dxa"/>
            <w:vMerge w:val="restart"/>
            <w:tcBorders>
              <w:top w:val="single" w:color="auto" w:sz="4" w:space="0"/>
            </w:tcBorders>
            <w:vAlign w:val="center"/>
          </w:tcPr>
          <w:p>
            <w:pPr>
              <w:spacing w:line="320" w:lineRule="exact"/>
              <w:jc w:val="center"/>
              <w:rPr>
                <w:rFonts w:ascii="新宋体" w:hAnsi="新宋体" w:eastAsia="新宋体" w:cs="新宋体"/>
                <w:bCs/>
                <w:sz w:val="24"/>
              </w:rPr>
            </w:pPr>
            <w:r>
              <w:rPr>
                <w:rFonts w:hint="eastAsia" w:ascii="新宋体" w:hAnsi="新宋体" w:eastAsia="新宋体" w:cs="新宋体"/>
                <w:bCs/>
                <w:sz w:val="24"/>
              </w:rPr>
              <w:t>条款号</w:t>
            </w:r>
          </w:p>
        </w:tc>
        <w:tc>
          <w:tcPr>
            <w:tcW w:w="4533" w:type="dxa"/>
            <w:gridSpan w:val="5"/>
            <w:tcBorders>
              <w:top w:val="single" w:color="auto" w:sz="4" w:space="0"/>
            </w:tcBorders>
          </w:tcPr>
          <w:p>
            <w:pPr>
              <w:spacing w:line="320" w:lineRule="exact"/>
              <w:jc w:val="center"/>
              <w:rPr>
                <w:rFonts w:ascii="新宋体" w:hAnsi="新宋体" w:eastAsia="新宋体" w:cs="新宋体"/>
                <w:bCs/>
                <w:sz w:val="24"/>
              </w:rPr>
            </w:pPr>
            <w:r>
              <w:rPr>
                <w:rFonts w:hint="eastAsia" w:ascii="新宋体" w:hAnsi="新宋体" w:eastAsia="新宋体" w:cs="新宋体"/>
                <w:bCs/>
                <w:sz w:val="24"/>
              </w:rPr>
              <w:t>评分因素与权重分值</w:t>
            </w:r>
          </w:p>
        </w:tc>
        <w:tc>
          <w:tcPr>
            <w:tcW w:w="3560" w:type="dxa"/>
            <w:vMerge w:val="restart"/>
            <w:tcBorders>
              <w:top w:val="single" w:color="auto" w:sz="4" w:space="0"/>
            </w:tcBorders>
            <w:vAlign w:val="center"/>
          </w:tcPr>
          <w:p>
            <w:pPr>
              <w:spacing w:line="400" w:lineRule="exact"/>
              <w:jc w:val="center"/>
              <w:rPr>
                <w:rFonts w:ascii="新宋体" w:hAnsi="新宋体" w:eastAsia="新宋体" w:cs="新宋体"/>
                <w:bCs/>
                <w:sz w:val="24"/>
              </w:rPr>
            </w:pPr>
            <w:r>
              <w:rPr>
                <w:rFonts w:hint="eastAsia" w:ascii="新宋体" w:hAnsi="新宋体" w:eastAsia="新宋体" w:cs="新宋体"/>
                <w:bCs/>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98" w:type="dxa"/>
            <w:vMerge w:val="continue"/>
            <w:vAlign w:val="center"/>
          </w:tcPr>
          <w:p>
            <w:pPr>
              <w:spacing w:line="320" w:lineRule="exact"/>
              <w:jc w:val="center"/>
              <w:rPr>
                <w:rFonts w:ascii="新宋体" w:hAnsi="新宋体" w:eastAsia="新宋体" w:cs="新宋体"/>
                <w:bCs/>
                <w:sz w:val="24"/>
              </w:rPr>
            </w:pPr>
          </w:p>
        </w:tc>
        <w:tc>
          <w:tcPr>
            <w:tcW w:w="1203" w:type="dxa"/>
            <w:gridSpan w:val="2"/>
            <w:vAlign w:val="center"/>
          </w:tcPr>
          <w:p>
            <w:pPr>
              <w:spacing w:line="320" w:lineRule="exact"/>
              <w:jc w:val="center"/>
              <w:rPr>
                <w:rFonts w:ascii="新宋体" w:hAnsi="新宋体" w:eastAsia="新宋体" w:cs="新宋体"/>
                <w:bCs/>
                <w:sz w:val="24"/>
              </w:rPr>
            </w:pPr>
            <w:r>
              <w:rPr>
                <w:rFonts w:hint="eastAsia" w:ascii="新宋体" w:hAnsi="新宋体" w:eastAsia="新宋体" w:cs="新宋体"/>
                <w:bCs/>
                <w:sz w:val="24"/>
              </w:rPr>
              <w:t>评分因素</w:t>
            </w:r>
          </w:p>
        </w:tc>
        <w:tc>
          <w:tcPr>
            <w:tcW w:w="893" w:type="dxa"/>
            <w:vAlign w:val="center"/>
          </w:tcPr>
          <w:p>
            <w:pPr>
              <w:spacing w:line="320" w:lineRule="exact"/>
              <w:jc w:val="center"/>
              <w:rPr>
                <w:rFonts w:ascii="新宋体" w:hAnsi="新宋体" w:eastAsia="新宋体" w:cs="新宋体"/>
                <w:bCs/>
                <w:sz w:val="24"/>
              </w:rPr>
            </w:pPr>
            <w:r>
              <w:rPr>
                <w:rFonts w:hint="eastAsia" w:ascii="新宋体" w:hAnsi="新宋体" w:eastAsia="新宋体" w:cs="新宋体"/>
                <w:bCs/>
                <w:sz w:val="24"/>
              </w:rPr>
              <w:t>评分因素权重分值</w:t>
            </w:r>
          </w:p>
        </w:tc>
        <w:tc>
          <w:tcPr>
            <w:tcW w:w="1864" w:type="dxa"/>
            <w:vAlign w:val="center"/>
          </w:tcPr>
          <w:p>
            <w:pPr>
              <w:spacing w:line="320" w:lineRule="exact"/>
              <w:jc w:val="center"/>
              <w:rPr>
                <w:rFonts w:ascii="新宋体" w:hAnsi="新宋体" w:eastAsia="新宋体" w:cs="新宋体"/>
                <w:bCs/>
                <w:sz w:val="24"/>
              </w:rPr>
            </w:pPr>
            <w:r>
              <w:rPr>
                <w:rFonts w:hint="eastAsia" w:ascii="新宋体" w:hAnsi="新宋体" w:eastAsia="新宋体" w:cs="新宋体"/>
                <w:bCs/>
                <w:sz w:val="24"/>
              </w:rPr>
              <w:t>各评分因素细分项</w:t>
            </w:r>
          </w:p>
        </w:tc>
        <w:tc>
          <w:tcPr>
            <w:tcW w:w="573" w:type="dxa"/>
            <w:vAlign w:val="center"/>
          </w:tcPr>
          <w:p>
            <w:pPr>
              <w:spacing w:line="320" w:lineRule="exact"/>
              <w:jc w:val="center"/>
              <w:rPr>
                <w:rFonts w:ascii="新宋体" w:hAnsi="新宋体" w:eastAsia="新宋体" w:cs="新宋体"/>
                <w:bCs/>
                <w:sz w:val="24"/>
              </w:rPr>
            </w:pPr>
            <w:r>
              <w:rPr>
                <w:rFonts w:hint="eastAsia" w:ascii="新宋体" w:hAnsi="新宋体" w:eastAsia="新宋体" w:cs="新宋体"/>
                <w:bCs/>
                <w:sz w:val="24"/>
              </w:rPr>
              <w:t>分值</w:t>
            </w:r>
          </w:p>
        </w:tc>
        <w:tc>
          <w:tcPr>
            <w:tcW w:w="3560" w:type="dxa"/>
            <w:vMerge w:val="continue"/>
          </w:tcPr>
          <w:p>
            <w:pPr>
              <w:spacing w:line="400" w:lineRule="exact"/>
              <w:jc w:val="center"/>
              <w:rPr>
                <w:rFonts w:ascii="新宋体" w:hAnsi="新宋体" w:eastAsia="新宋体" w:cs="新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trPr>
        <w:tc>
          <w:tcPr>
            <w:tcW w:w="798" w:type="dxa"/>
            <w:vMerge w:val="restart"/>
            <w:vAlign w:val="center"/>
          </w:tcPr>
          <w:p>
            <w:pPr>
              <w:spacing w:line="400" w:lineRule="exact"/>
              <w:jc w:val="center"/>
              <w:rPr>
                <w:rFonts w:ascii="新宋体" w:hAnsi="新宋体" w:eastAsia="新宋体" w:cs="新宋体"/>
                <w:bCs/>
                <w:sz w:val="24"/>
              </w:rPr>
            </w:pPr>
            <w:r>
              <w:rPr>
                <w:rFonts w:hint="eastAsia" w:ascii="新宋体" w:hAnsi="新宋体" w:eastAsia="新宋体" w:cs="新宋体"/>
                <w:bCs/>
                <w:sz w:val="24"/>
              </w:rPr>
              <w:t>2.2.4（1）</w:t>
            </w:r>
          </w:p>
        </w:tc>
        <w:tc>
          <w:tcPr>
            <w:tcW w:w="1203" w:type="dxa"/>
            <w:gridSpan w:val="2"/>
            <w:vMerge w:val="restart"/>
            <w:vAlign w:val="center"/>
          </w:tcPr>
          <w:p>
            <w:pPr>
              <w:spacing w:line="400" w:lineRule="exact"/>
              <w:jc w:val="center"/>
              <w:rPr>
                <w:rFonts w:ascii="新宋体" w:hAnsi="新宋体" w:eastAsia="新宋体" w:cs="新宋体"/>
                <w:bCs/>
                <w:sz w:val="24"/>
              </w:rPr>
            </w:pPr>
            <w:r>
              <w:rPr>
                <w:rFonts w:hint="eastAsia" w:ascii="新宋体" w:hAnsi="新宋体" w:eastAsia="新宋体" w:cs="新宋体"/>
                <w:bCs/>
                <w:sz w:val="24"/>
              </w:rPr>
              <w:t>技术</w:t>
            </w:r>
          </w:p>
          <w:p>
            <w:pPr>
              <w:spacing w:line="400" w:lineRule="exact"/>
              <w:jc w:val="center"/>
              <w:rPr>
                <w:rFonts w:ascii="新宋体" w:hAnsi="新宋体" w:eastAsia="新宋体" w:cs="新宋体"/>
                <w:bCs/>
                <w:sz w:val="24"/>
              </w:rPr>
            </w:pPr>
            <w:r>
              <w:rPr>
                <w:rFonts w:hint="eastAsia" w:ascii="新宋体" w:hAnsi="新宋体" w:eastAsia="新宋体" w:cs="新宋体"/>
                <w:bCs/>
                <w:sz w:val="24"/>
              </w:rPr>
              <w:t>建议书</w:t>
            </w:r>
          </w:p>
        </w:tc>
        <w:tc>
          <w:tcPr>
            <w:tcW w:w="893" w:type="dxa"/>
            <w:vMerge w:val="restart"/>
            <w:vAlign w:val="center"/>
          </w:tcPr>
          <w:p>
            <w:pPr>
              <w:spacing w:line="400" w:lineRule="exact"/>
              <w:jc w:val="center"/>
              <w:rPr>
                <w:rFonts w:ascii="新宋体" w:hAnsi="新宋体" w:eastAsia="新宋体" w:cs="新宋体"/>
                <w:bCs/>
                <w:sz w:val="24"/>
                <w:u w:val="single"/>
              </w:rPr>
            </w:pPr>
            <w:r>
              <w:rPr>
                <w:rFonts w:hint="eastAsia" w:ascii="新宋体" w:hAnsi="新宋体" w:eastAsia="新宋体" w:cs="新宋体"/>
                <w:bCs/>
                <w:sz w:val="24"/>
              </w:rPr>
              <w:t>40分</w:t>
            </w:r>
          </w:p>
        </w:tc>
        <w:tc>
          <w:tcPr>
            <w:tcW w:w="1864" w:type="dxa"/>
            <w:vAlign w:val="center"/>
          </w:tcPr>
          <w:p>
            <w:pPr>
              <w:spacing w:line="360" w:lineRule="exact"/>
              <w:rPr>
                <w:rFonts w:ascii="新宋体" w:hAnsi="新宋体" w:eastAsia="新宋体" w:cs="新宋体"/>
                <w:bCs/>
                <w:sz w:val="24"/>
              </w:rPr>
            </w:pPr>
            <w:r>
              <w:rPr>
                <w:rFonts w:hint="eastAsia" w:ascii="新宋体" w:hAnsi="新宋体" w:eastAsia="新宋体" w:cs="新宋体"/>
                <w:bCs/>
                <w:snapToGrid w:val="0"/>
                <w:sz w:val="24"/>
              </w:rPr>
              <w:t>对招标项目的理解和总体设计思路</w:t>
            </w:r>
          </w:p>
        </w:tc>
        <w:tc>
          <w:tcPr>
            <w:tcW w:w="573" w:type="dxa"/>
            <w:vAlign w:val="center"/>
          </w:tcPr>
          <w:p>
            <w:pPr>
              <w:spacing w:line="360" w:lineRule="exact"/>
              <w:jc w:val="center"/>
              <w:rPr>
                <w:rFonts w:ascii="新宋体" w:hAnsi="新宋体" w:eastAsia="新宋体" w:cs="新宋体"/>
                <w:bCs/>
                <w:sz w:val="24"/>
              </w:rPr>
            </w:pPr>
            <w:r>
              <w:rPr>
                <w:rFonts w:hint="eastAsia" w:ascii="新宋体" w:hAnsi="新宋体" w:eastAsia="新宋体" w:cs="新宋体"/>
                <w:bCs/>
                <w:sz w:val="24"/>
              </w:rPr>
              <w:t>10分</w:t>
            </w:r>
          </w:p>
        </w:tc>
        <w:tc>
          <w:tcPr>
            <w:tcW w:w="3560" w:type="dxa"/>
            <w:vAlign w:val="center"/>
          </w:tcPr>
          <w:p>
            <w:pPr>
              <w:spacing w:line="360" w:lineRule="exact"/>
              <w:rPr>
                <w:rFonts w:ascii="新宋体" w:hAnsi="新宋体" w:eastAsia="新宋体" w:cs="新宋体"/>
                <w:bCs/>
                <w:snapToGrid w:val="0"/>
                <w:sz w:val="24"/>
              </w:rPr>
            </w:pPr>
            <w:r>
              <w:rPr>
                <w:rFonts w:hint="eastAsia" w:ascii="新宋体" w:hAnsi="新宋体" w:eastAsia="新宋体" w:cs="新宋体"/>
                <w:bCs/>
                <w:snapToGrid w:val="0"/>
                <w:sz w:val="24"/>
              </w:rPr>
              <w:t>对招标项目的理解基本准确，得6分，设计思路清晰，针对本项目特点理解具有先进性，酌情加0~4分。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8" w:type="dxa"/>
            <w:vMerge w:val="continue"/>
            <w:vAlign w:val="center"/>
          </w:tcPr>
          <w:p>
            <w:pPr>
              <w:spacing w:line="400" w:lineRule="exact"/>
              <w:jc w:val="center"/>
              <w:rPr>
                <w:rFonts w:ascii="新宋体" w:hAnsi="新宋体" w:eastAsia="新宋体" w:cs="新宋体"/>
                <w:bCs/>
                <w:sz w:val="24"/>
              </w:rPr>
            </w:pPr>
          </w:p>
        </w:tc>
        <w:tc>
          <w:tcPr>
            <w:tcW w:w="1203" w:type="dxa"/>
            <w:gridSpan w:val="2"/>
            <w:vMerge w:val="continue"/>
            <w:vAlign w:val="center"/>
          </w:tcPr>
          <w:p>
            <w:pPr>
              <w:spacing w:line="400" w:lineRule="exact"/>
              <w:jc w:val="center"/>
              <w:rPr>
                <w:rFonts w:ascii="新宋体" w:hAnsi="新宋体" w:eastAsia="新宋体" w:cs="新宋体"/>
                <w:bCs/>
                <w:sz w:val="24"/>
              </w:rPr>
            </w:pPr>
          </w:p>
        </w:tc>
        <w:tc>
          <w:tcPr>
            <w:tcW w:w="893" w:type="dxa"/>
            <w:vMerge w:val="continue"/>
            <w:vAlign w:val="center"/>
          </w:tcPr>
          <w:p>
            <w:pPr>
              <w:spacing w:line="400" w:lineRule="exact"/>
              <w:jc w:val="right"/>
              <w:rPr>
                <w:rFonts w:ascii="新宋体" w:hAnsi="新宋体" w:eastAsia="新宋体" w:cs="新宋体"/>
                <w:bCs/>
                <w:sz w:val="24"/>
                <w:u w:val="single"/>
              </w:rPr>
            </w:pPr>
          </w:p>
        </w:tc>
        <w:tc>
          <w:tcPr>
            <w:tcW w:w="1864" w:type="dxa"/>
            <w:vAlign w:val="center"/>
          </w:tcPr>
          <w:p>
            <w:pPr>
              <w:spacing w:line="360" w:lineRule="exact"/>
              <w:rPr>
                <w:rFonts w:ascii="新宋体" w:hAnsi="新宋体" w:eastAsia="新宋体" w:cs="新宋体"/>
                <w:bCs/>
                <w:sz w:val="24"/>
              </w:rPr>
            </w:pPr>
            <w:r>
              <w:rPr>
                <w:rFonts w:hint="eastAsia" w:ascii="新宋体" w:hAnsi="新宋体" w:eastAsia="新宋体" w:cs="新宋体"/>
                <w:bCs/>
                <w:snapToGrid w:val="0"/>
                <w:sz w:val="24"/>
              </w:rPr>
              <w:t>招标项目勘察设计的特点、关键技术问题的认识及其对策措施</w:t>
            </w:r>
          </w:p>
        </w:tc>
        <w:tc>
          <w:tcPr>
            <w:tcW w:w="573" w:type="dxa"/>
            <w:vAlign w:val="center"/>
          </w:tcPr>
          <w:p>
            <w:pPr>
              <w:spacing w:line="360" w:lineRule="exact"/>
              <w:jc w:val="center"/>
              <w:rPr>
                <w:rFonts w:ascii="新宋体" w:hAnsi="新宋体" w:eastAsia="新宋体" w:cs="新宋体"/>
                <w:bCs/>
                <w:sz w:val="24"/>
              </w:rPr>
            </w:pPr>
            <w:r>
              <w:rPr>
                <w:rFonts w:hint="eastAsia" w:ascii="新宋体" w:hAnsi="新宋体" w:eastAsia="新宋体" w:cs="新宋体"/>
                <w:bCs/>
                <w:sz w:val="24"/>
              </w:rPr>
              <w:t>10分</w:t>
            </w:r>
          </w:p>
        </w:tc>
        <w:tc>
          <w:tcPr>
            <w:tcW w:w="3560" w:type="dxa"/>
            <w:vAlign w:val="center"/>
          </w:tcPr>
          <w:p>
            <w:pPr>
              <w:spacing w:line="360" w:lineRule="exact"/>
              <w:rPr>
                <w:rFonts w:ascii="新宋体" w:hAnsi="新宋体" w:eastAsia="新宋体" w:cs="新宋体"/>
                <w:bCs/>
                <w:snapToGrid w:val="0"/>
                <w:sz w:val="24"/>
              </w:rPr>
            </w:pPr>
            <w:r>
              <w:rPr>
                <w:rFonts w:hint="eastAsia" w:ascii="新宋体" w:hAnsi="新宋体" w:eastAsia="新宋体" w:cs="新宋体"/>
                <w:bCs/>
                <w:snapToGrid w:val="0"/>
                <w:sz w:val="24"/>
              </w:rPr>
              <w:t xml:space="preserve">理解准确，对策措施基本可行，得6分；针对本项目技术特点关键技术问题分析透彻，对策措施科学合理，酌情加0~4分。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8" w:type="dxa"/>
            <w:vMerge w:val="continue"/>
            <w:vAlign w:val="center"/>
          </w:tcPr>
          <w:p>
            <w:pPr>
              <w:spacing w:line="400" w:lineRule="exact"/>
              <w:jc w:val="center"/>
              <w:rPr>
                <w:rFonts w:ascii="新宋体" w:hAnsi="新宋体" w:eastAsia="新宋体" w:cs="新宋体"/>
                <w:bCs/>
                <w:sz w:val="24"/>
              </w:rPr>
            </w:pPr>
          </w:p>
        </w:tc>
        <w:tc>
          <w:tcPr>
            <w:tcW w:w="1203" w:type="dxa"/>
            <w:gridSpan w:val="2"/>
            <w:vMerge w:val="continue"/>
            <w:vAlign w:val="center"/>
          </w:tcPr>
          <w:p>
            <w:pPr>
              <w:spacing w:line="400" w:lineRule="exact"/>
              <w:jc w:val="center"/>
              <w:rPr>
                <w:rFonts w:ascii="新宋体" w:hAnsi="新宋体" w:eastAsia="新宋体" w:cs="新宋体"/>
                <w:bCs/>
                <w:sz w:val="24"/>
              </w:rPr>
            </w:pPr>
          </w:p>
        </w:tc>
        <w:tc>
          <w:tcPr>
            <w:tcW w:w="893" w:type="dxa"/>
            <w:vMerge w:val="continue"/>
            <w:vAlign w:val="center"/>
          </w:tcPr>
          <w:p>
            <w:pPr>
              <w:spacing w:line="400" w:lineRule="exact"/>
              <w:jc w:val="right"/>
              <w:rPr>
                <w:rFonts w:ascii="新宋体" w:hAnsi="新宋体" w:eastAsia="新宋体" w:cs="新宋体"/>
                <w:bCs/>
                <w:sz w:val="24"/>
                <w:u w:val="single"/>
              </w:rPr>
            </w:pPr>
          </w:p>
        </w:tc>
        <w:tc>
          <w:tcPr>
            <w:tcW w:w="1864" w:type="dxa"/>
            <w:vAlign w:val="center"/>
          </w:tcPr>
          <w:p>
            <w:pPr>
              <w:spacing w:line="360" w:lineRule="exact"/>
              <w:rPr>
                <w:rFonts w:ascii="新宋体" w:hAnsi="新宋体" w:eastAsia="新宋体" w:cs="新宋体"/>
                <w:bCs/>
                <w:sz w:val="24"/>
              </w:rPr>
            </w:pPr>
            <w:r>
              <w:rPr>
                <w:rFonts w:hint="eastAsia" w:ascii="新宋体" w:hAnsi="新宋体" w:eastAsia="新宋体" w:cs="新宋体"/>
                <w:bCs/>
                <w:sz w:val="24"/>
              </w:rPr>
              <w:t>对前一阶段工作技术结论及技术方案的不同看法及建议</w:t>
            </w:r>
          </w:p>
        </w:tc>
        <w:tc>
          <w:tcPr>
            <w:tcW w:w="573" w:type="dxa"/>
            <w:vAlign w:val="center"/>
          </w:tcPr>
          <w:p>
            <w:pPr>
              <w:spacing w:line="360" w:lineRule="exact"/>
              <w:jc w:val="center"/>
              <w:rPr>
                <w:rFonts w:ascii="新宋体" w:hAnsi="新宋体" w:eastAsia="新宋体" w:cs="新宋体"/>
                <w:bCs/>
                <w:sz w:val="24"/>
              </w:rPr>
            </w:pPr>
            <w:r>
              <w:rPr>
                <w:rFonts w:hint="eastAsia" w:ascii="新宋体" w:hAnsi="新宋体" w:eastAsia="新宋体" w:cs="新宋体"/>
                <w:bCs/>
                <w:sz w:val="24"/>
              </w:rPr>
              <w:t>5分</w:t>
            </w:r>
          </w:p>
        </w:tc>
        <w:tc>
          <w:tcPr>
            <w:tcW w:w="3560" w:type="dxa"/>
            <w:vAlign w:val="center"/>
          </w:tcPr>
          <w:p>
            <w:pPr>
              <w:spacing w:line="360" w:lineRule="exact"/>
              <w:rPr>
                <w:rFonts w:ascii="新宋体" w:hAnsi="新宋体" w:eastAsia="新宋体" w:cs="新宋体"/>
                <w:bCs/>
                <w:snapToGrid w:val="0"/>
                <w:sz w:val="24"/>
              </w:rPr>
            </w:pPr>
            <w:r>
              <w:rPr>
                <w:rFonts w:hint="eastAsia" w:ascii="新宋体" w:hAnsi="新宋体" w:eastAsia="新宋体" w:cs="新宋体"/>
                <w:bCs/>
                <w:snapToGrid w:val="0"/>
                <w:sz w:val="24"/>
              </w:rPr>
              <w:t xml:space="preserve">提出的看法及建议基本合理，得3分；有独到的建议，酌情加0~2分。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8" w:type="dxa"/>
            <w:vMerge w:val="continue"/>
            <w:vAlign w:val="center"/>
          </w:tcPr>
          <w:p>
            <w:pPr>
              <w:spacing w:line="400" w:lineRule="exact"/>
              <w:jc w:val="center"/>
              <w:rPr>
                <w:rFonts w:ascii="新宋体" w:hAnsi="新宋体" w:eastAsia="新宋体" w:cs="新宋体"/>
                <w:bCs/>
                <w:sz w:val="24"/>
              </w:rPr>
            </w:pPr>
          </w:p>
        </w:tc>
        <w:tc>
          <w:tcPr>
            <w:tcW w:w="1203" w:type="dxa"/>
            <w:gridSpan w:val="2"/>
            <w:vMerge w:val="continue"/>
            <w:vAlign w:val="center"/>
          </w:tcPr>
          <w:p>
            <w:pPr>
              <w:spacing w:line="400" w:lineRule="exact"/>
              <w:jc w:val="center"/>
              <w:rPr>
                <w:rFonts w:ascii="新宋体" w:hAnsi="新宋体" w:eastAsia="新宋体" w:cs="新宋体"/>
                <w:bCs/>
                <w:sz w:val="24"/>
              </w:rPr>
            </w:pPr>
          </w:p>
        </w:tc>
        <w:tc>
          <w:tcPr>
            <w:tcW w:w="893" w:type="dxa"/>
            <w:vMerge w:val="continue"/>
            <w:vAlign w:val="center"/>
          </w:tcPr>
          <w:p>
            <w:pPr>
              <w:spacing w:line="400" w:lineRule="exact"/>
              <w:jc w:val="right"/>
              <w:rPr>
                <w:rFonts w:ascii="新宋体" w:hAnsi="新宋体" w:eastAsia="新宋体" w:cs="新宋体"/>
                <w:bCs/>
                <w:sz w:val="24"/>
                <w:u w:val="single"/>
              </w:rPr>
            </w:pPr>
          </w:p>
        </w:tc>
        <w:tc>
          <w:tcPr>
            <w:tcW w:w="1864" w:type="dxa"/>
            <w:vAlign w:val="center"/>
          </w:tcPr>
          <w:p>
            <w:pPr>
              <w:spacing w:line="360" w:lineRule="exact"/>
              <w:rPr>
                <w:rFonts w:ascii="新宋体" w:hAnsi="新宋体" w:eastAsia="新宋体" w:cs="新宋体"/>
                <w:bCs/>
                <w:sz w:val="24"/>
              </w:rPr>
            </w:pPr>
            <w:r>
              <w:rPr>
                <w:rFonts w:hint="eastAsia" w:ascii="新宋体" w:hAnsi="新宋体" w:eastAsia="新宋体" w:cs="新宋体"/>
                <w:bCs/>
                <w:snapToGrid w:val="0"/>
                <w:sz w:val="24"/>
              </w:rPr>
              <w:t>勘察设计工作量及计划安排</w:t>
            </w:r>
          </w:p>
        </w:tc>
        <w:tc>
          <w:tcPr>
            <w:tcW w:w="573" w:type="dxa"/>
            <w:vAlign w:val="center"/>
          </w:tcPr>
          <w:p>
            <w:pPr>
              <w:spacing w:line="360" w:lineRule="exact"/>
              <w:jc w:val="center"/>
              <w:rPr>
                <w:rFonts w:ascii="新宋体" w:hAnsi="新宋体" w:eastAsia="新宋体" w:cs="新宋体"/>
                <w:bCs/>
                <w:sz w:val="24"/>
              </w:rPr>
            </w:pPr>
            <w:r>
              <w:rPr>
                <w:rFonts w:hint="eastAsia" w:ascii="新宋体" w:hAnsi="新宋体" w:eastAsia="新宋体" w:cs="新宋体"/>
                <w:bCs/>
                <w:sz w:val="24"/>
              </w:rPr>
              <w:t>5分</w:t>
            </w:r>
          </w:p>
        </w:tc>
        <w:tc>
          <w:tcPr>
            <w:tcW w:w="3560" w:type="dxa"/>
            <w:vAlign w:val="center"/>
          </w:tcPr>
          <w:p>
            <w:pPr>
              <w:spacing w:line="360" w:lineRule="exact"/>
              <w:rPr>
                <w:rFonts w:ascii="新宋体" w:hAnsi="新宋体" w:eastAsia="新宋体" w:cs="新宋体"/>
                <w:bCs/>
                <w:snapToGrid w:val="0"/>
                <w:sz w:val="24"/>
              </w:rPr>
            </w:pPr>
            <w:r>
              <w:rPr>
                <w:rFonts w:hint="eastAsia" w:ascii="新宋体" w:hAnsi="新宋体" w:eastAsia="新宋体" w:cs="新宋体"/>
                <w:bCs/>
                <w:snapToGrid w:val="0"/>
                <w:sz w:val="24"/>
              </w:rPr>
              <w:t>勘察设计工作量及计划安排基本合理，得3分；合理可行，酌情加0~2分。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8" w:type="dxa"/>
            <w:vMerge w:val="continue"/>
            <w:vAlign w:val="center"/>
          </w:tcPr>
          <w:p>
            <w:pPr>
              <w:spacing w:line="400" w:lineRule="exact"/>
              <w:jc w:val="center"/>
              <w:rPr>
                <w:rFonts w:ascii="新宋体" w:hAnsi="新宋体" w:eastAsia="新宋体" w:cs="新宋体"/>
                <w:bCs/>
                <w:sz w:val="24"/>
              </w:rPr>
            </w:pPr>
          </w:p>
        </w:tc>
        <w:tc>
          <w:tcPr>
            <w:tcW w:w="1203" w:type="dxa"/>
            <w:gridSpan w:val="2"/>
            <w:vMerge w:val="continue"/>
            <w:vAlign w:val="center"/>
          </w:tcPr>
          <w:p>
            <w:pPr>
              <w:spacing w:line="400" w:lineRule="exact"/>
              <w:jc w:val="center"/>
              <w:rPr>
                <w:rFonts w:ascii="新宋体" w:hAnsi="新宋体" w:eastAsia="新宋体" w:cs="新宋体"/>
                <w:bCs/>
                <w:sz w:val="24"/>
              </w:rPr>
            </w:pPr>
          </w:p>
        </w:tc>
        <w:tc>
          <w:tcPr>
            <w:tcW w:w="893" w:type="dxa"/>
            <w:vMerge w:val="continue"/>
            <w:vAlign w:val="center"/>
          </w:tcPr>
          <w:p>
            <w:pPr>
              <w:spacing w:line="400" w:lineRule="exact"/>
              <w:jc w:val="right"/>
              <w:rPr>
                <w:rFonts w:ascii="新宋体" w:hAnsi="新宋体" w:eastAsia="新宋体" w:cs="新宋体"/>
                <w:bCs/>
                <w:sz w:val="24"/>
                <w:u w:val="single"/>
              </w:rPr>
            </w:pPr>
          </w:p>
        </w:tc>
        <w:tc>
          <w:tcPr>
            <w:tcW w:w="1864" w:type="dxa"/>
            <w:vAlign w:val="center"/>
          </w:tcPr>
          <w:p>
            <w:pPr>
              <w:spacing w:line="360" w:lineRule="exact"/>
              <w:jc w:val="left"/>
              <w:rPr>
                <w:rFonts w:ascii="新宋体" w:hAnsi="新宋体" w:eastAsia="新宋体" w:cs="新宋体"/>
                <w:bCs/>
                <w:sz w:val="24"/>
              </w:rPr>
            </w:pPr>
            <w:r>
              <w:rPr>
                <w:rFonts w:hint="eastAsia" w:ascii="新宋体" w:hAnsi="新宋体" w:eastAsia="新宋体" w:cs="新宋体"/>
                <w:bCs/>
                <w:sz w:val="24"/>
              </w:rPr>
              <w:t>勘察设计的质量保证措施、进度保证措施、安全保证措施</w:t>
            </w:r>
          </w:p>
        </w:tc>
        <w:tc>
          <w:tcPr>
            <w:tcW w:w="573" w:type="dxa"/>
            <w:vAlign w:val="center"/>
          </w:tcPr>
          <w:p>
            <w:pPr>
              <w:spacing w:line="360" w:lineRule="exact"/>
              <w:jc w:val="center"/>
              <w:rPr>
                <w:rFonts w:ascii="新宋体" w:hAnsi="新宋体" w:eastAsia="新宋体" w:cs="新宋体"/>
                <w:bCs/>
                <w:sz w:val="24"/>
              </w:rPr>
            </w:pPr>
            <w:r>
              <w:rPr>
                <w:rFonts w:hint="eastAsia" w:ascii="新宋体" w:hAnsi="新宋体" w:eastAsia="新宋体" w:cs="新宋体"/>
                <w:bCs/>
                <w:sz w:val="24"/>
              </w:rPr>
              <w:t>5分</w:t>
            </w:r>
          </w:p>
        </w:tc>
        <w:tc>
          <w:tcPr>
            <w:tcW w:w="3560" w:type="dxa"/>
            <w:vAlign w:val="center"/>
          </w:tcPr>
          <w:p>
            <w:pPr>
              <w:spacing w:line="360" w:lineRule="exact"/>
              <w:rPr>
                <w:rFonts w:ascii="新宋体" w:hAnsi="新宋体" w:eastAsia="新宋体" w:cs="新宋体"/>
                <w:bCs/>
                <w:snapToGrid w:val="0"/>
                <w:sz w:val="24"/>
              </w:rPr>
            </w:pPr>
            <w:r>
              <w:rPr>
                <w:rFonts w:hint="eastAsia" w:ascii="新宋体" w:hAnsi="新宋体" w:eastAsia="新宋体" w:cs="新宋体"/>
                <w:bCs/>
                <w:snapToGrid w:val="0"/>
                <w:sz w:val="24"/>
              </w:rPr>
              <w:t>质量、进度保证措施基本满足要求，得3分；保证措施严密可行，酌情加0~2分。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798" w:type="dxa"/>
            <w:vMerge w:val="continue"/>
            <w:vAlign w:val="center"/>
          </w:tcPr>
          <w:p>
            <w:pPr>
              <w:spacing w:line="400" w:lineRule="exact"/>
              <w:jc w:val="center"/>
              <w:rPr>
                <w:rFonts w:ascii="新宋体" w:hAnsi="新宋体" w:eastAsia="新宋体" w:cs="新宋体"/>
                <w:bCs/>
                <w:sz w:val="24"/>
              </w:rPr>
            </w:pPr>
          </w:p>
        </w:tc>
        <w:tc>
          <w:tcPr>
            <w:tcW w:w="1203" w:type="dxa"/>
            <w:gridSpan w:val="2"/>
            <w:vMerge w:val="continue"/>
            <w:vAlign w:val="center"/>
          </w:tcPr>
          <w:p>
            <w:pPr>
              <w:spacing w:line="400" w:lineRule="exact"/>
              <w:jc w:val="center"/>
              <w:rPr>
                <w:rFonts w:ascii="新宋体" w:hAnsi="新宋体" w:eastAsia="新宋体" w:cs="新宋体"/>
                <w:bCs/>
                <w:sz w:val="24"/>
              </w:rPr>
            </w:pPr>
          </w:p>
        </w:tc>
        <w:tc>
          <w:tcPr>
            <w:tcW w:w="893" w:type="dxa"/>
            <w:vMerge w:val="continue"/>
            <w:vAlign w:val="center"/>
          </w:tcPr>
          <w:p>
            <w:pPr>
              <w:spacing w:line="400" w:lineRule="exact"/>
              <w:jc w:val="right"/>
              <w:rPr>
                <w:rFonts w:ascii="新宋体" w:hAnsi="新宋体" w:eastAsia="新宋体" w:cs="新宋体"/>
                <w:bCs/>
                <w:sz w:val="24"/>
              </w:rPr>
            </w:pPr>
          </w:p>
        </w:tc>
        <w:tc>
          <w:tcPr>
            <w:tcW w:w="1864" w:type="dxa"/>
            <w:vAlign w:val="center"/>
          </w:tcPr>
          <w:p>
            <w:pPr>
              <w:spacing w:line="360" w:lineRule="exact"/>
              <w:rPr>
                <w:rFonts w:ascii="新宋体" w:hAnsi="新宋体" w:eastAsia="新宋体" w:cs="新宋体"/>
                <w:bCs/>
                <w:sz w:val="24"/>
              </w:rPr>
            </w:pPr>
            <w:r>
              <w:rPr>
                <w:rFonts w:hint="eastAsia" w:ascii="新宋体" w:hAnsi="新宋体" w:eastAsia="新宋体" w:cs="新宋体"/>
                <w:bCs/>
                <w:sz w:val="24"/>
              </w:rPr>
              <w:t>后续服务的安排及保证措施</w:t>
            </w:r>
          </w:p>
        </w:tc>
        <w:tc>
          <w:tcPr>
            <w:tcW w:w="573" w:type="dxa"/>
            <w:vAlign w:val="center"/>
          </w:tcPr>
          <w:p>
            <w:pPr>
              <w:spacing w:line="360" w:lineRule="exact"/>
              <w:jc w:val="center"/>
              <w:rPr>
                <w:rFonts w:ascii="新宋体" w:hAnsi="新宋体" w:eastAsia="新宋体" w:cs="新宋体"/>
                <w:bCs/>
                <w:sz w:val="24"/>
              </w:rPr>
            </w:pPr>
            <w:r>
              <w:rPr>
                <w:rFonts w:hint="eastAsia" w:ascii="新宋体" w:hAnsi="新宋体" w:eastAsia="新宋体" w:cs="新宋体"/>
                <w:bCs/>
                <w:sz w:val="24"/>
              </w:rPr>
              <w:t>5分</w:t>
            </w:r>
          </w:p>
        </w:tc>
        <w:tc>
          <w:tcPr>
            <w:tcW w:w="3560" w:type="dxa"/>
            <w:vAlign w:val="center"/>
          </w:tcPr>
          <w:p>
            <w:pPr>
              <w:spacing w:line="360" w:lineRule="exact"/>
              <w:rPr>
                <w:rFonts w:ascii="新宋体" w:hAnsi="新宋体" w:eastAsia="新宋体" w:cs="新宋体"/>
                <w:bCs/>
                <w:snapToGrid w:val="0"/>
                <w:sz w:val="24"/>
              </w:rPr>
            </w:pPr>
            <w:r>
              <w:rPr>
                <w:rFonts w:hint="eastAsia" w:ascii="新宋体" w:hAnsi="新宋体" w:eastAsia="新宋体" w:cs="新宋体"/>
                <w:bCs/>
                <w:snapToGrid w:val="0"/>
                <w:sz w:val="24"/>
              </w:rPr>
              <w:t>后续服务的安排及保证措施基本合理，得3分，合理可行，酌情加0~2分。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trPr>
        <w:tc>
          <w:tcPr>
            <w:tcW w:w="798" w:type="dxa"/>
            <w:vAlign w:val="center"/>
          </w:tcPr>
          <w:p>
            <w:pPr>
              <w:spacing w:line="400" w:lineRule="exact"/>
              <w:jc w:val="center"/>
              <w:rPr>
                <w:rFonts w:ascii="新宋体" w:hAnsi="新宋体" w:eastAsia="新宋体" w:cs="新宋体"/>
                <w:bCs/>
                <w:sz w:val="24"/>
              </w:rPr>
            </w:pPr>
            <w:r>
              <w:rPr>
                <w:rFonts w:hint="eastAsia" w:ascii="新宋体" w:hAnsi="新宋体" w:eastAsia="新宋体" w:cs="新宋体"/>
                <w:bCs/>
                <w:sz w:val="24"/>
              </w:rPr>
              <w:t>2.2.4（2）</w:t>
            </w:r>
          </w:p>
        </w:tc>
        <w:tc>
          <w:tcPr>
            <w:tcW w:w="1203" w:type="dxa"/>
            <w:gridSpan w:val="2"/>
            <w:vAlign w:val="center"/>
          </w:tcPr>
          <w:p>
            <w:pPr>
              <w:spacing w:line="400" w:lineRule="exact"/>
              <w:jc w:val="center"/>
              <w:rPr>
                <w:rFonts w:ascii="新宋体" w:hAnsi="新宋体" w:eastAsia="新宋体" w:cs="新宋体"/>
                <w:bCs/>
                <w:sz w:val="24"/>
              </w:rPr>
            </w:pPr>
            <w:r>
              <w:rPr>
                <w:rFonts w:hint="eastAsia" w:ascii="新宋体" w:hAnsi="新宋体" w:eastAsia="新宋体" w:cs="新宋体"/>
                <w:bCs/>
                <w:sz w:val="24"/>
              </w:rPr>
              <w:t>主要</w:t>
            </w:r>
          </w:p>
          <w:p>
            <w:pPr>
              <w:spacing w:line="400" w:lineRule="exact"/>
              <w:jc w:val="center"/>
              <w:rPr>
                <w:rFonts w:ascii="新宋体" w:hAnsi="新宋体" w:eastAsia="新宋体" w:cs="新宋体"/>
                <w:bCs/>
                <w:sz w:val="24"/>
              </w:rPr>
            </w:pPr>
            <w:r>
              <w:rPr>
                <w:rFonts w:hint="eastAsia" w:ascii="新宋体" w:hAnsi="新宋体" w:eastAsia="新宋体" w:cs="新宋体"/>
                <w:bCs/>
                <w:sz w:val="24"/>
              </w:rPr>
              <w:t>人员</w:t>
            </w:r>
          </w:p>
        </w:tc>
        <w:tc>
          <w:tcPr>
            <w:tcW w:w="893" w:type="dxa"/>
            <w:vAlign w:val="center"/>
          </w:tcPr>
          <w:p>
            <w:pPr>
              <w:spacing w:line="400" w:lineRule="exact"/>
              <w:jc w:val="center"/>
              <w:rPr>
                <w:rFonts w:ascii="新宋体" w:hAnsi="新宋体" w:eastAsia="新宋体" w:cs="新宋体"/>
                <w:bCs/>
                <w:sz w:val="24"/>
              </w:rPr>
            </w:pPr>
            <w:r>
              <w:rPr>
                <w:rFonts w:hint="eastAsia" w:ascii="新宋体" w:hAnsi="新宋体" w:eastAsia="新宋体" w:cs="新宋体"/>
                <w:bCs/>
                <w:sz w:val="24"/>
              </w:rPr>
              <w:t>20分</w:t>
            </w:r>
          </w:p>
        </w:tc>
        <w:tc>
          <w:tcPr>
            <w:tcW w:w="1864" w:type="dxa"/>
            <w:vAlign w:val="center"/>
          </w:tcPr>
          <w:p>
            <w:pPr>
              <w:spacing w:line="360" w:lineRule="exact"/>
              <w:ind w:firstLine="213" w:firstLineChars="89"/>
              <w:jc w:val="center"/>
              <w:rPr>
                <w:rFonts w:ascii="新宋体" w:hAnsi="新宋体" w:eastAsia="新宋体" w:cs="新宋体"/>
                <w:bCs/>
                <w:sz w:val="24"/>
              </w:rPr>
            </w:pPr>
            <w:r>
              <w:rPr>
                <w:rFonts w:hint="eastAsia" w:ascii="新宋体" w:hAnsi="新宋体" w:eastAsia="新宋体" w:cs="新宋体"/>
                <w:bCs/>
                <w:sz w:val="24"/>
              </w:rPr>
              <w:t>项目负责人任职资格与业绩</w:t>
            </w:r>
          </w:p>
        </w:tc>
        <w:tc>
          <w:tcPr>
            <w:tcW w:w="573" w:type="dxa"/>
            <w:vAlign w:val="center"/>
          </w:tcPr>
          <w:p>
            <w:pPr>
              <w:spacing w:line="360" w:lineRule="exact"/>
              <w:jc w:val="center"/>
              <w:rPr>
                <w:rFonts w:ascii="新宋体" w:hAnsi="新宋体" w:eastAsia="新宋体" w:cs="新宋体"/>
                <w:bCs/>
                <w:sz w:val="24"/>
              </w:rPr>
            </w:pPr>
            <w:r>
              <w:rPr>
                <w:rFonts w:hint="eastAsia" w:ascii="新宋体" w:hAnsi="新宋体" w:eastAsia="新宋体" w:cs="新宋体"/>
                <w:bCs/>
                <w:sz w:val="24"/>
              </w:rPr>
              <w:t>20分</w:t>
            </w:r>
          </w:p>
        </w:tc>
        <w:tc>
          <w:tcPr>
            <w:tcW w:w="3560" w:type="dxa"/>
            <w:vAlign w:val="center"/>
          </w:tcPr>
          <w:p>
            <w:pPr>
              <w:spacing w:line="360" w:lineRule="exact"/>
              <w:rPr>
                <w:rFonts w:ascii="新宋体" w:hAnsi="新宋体" w:eastAsia="新宋体" w:cs="新宋体"/>
                <w:bCs/>
                <w:sz w:val="24"/>
              </w:rPr>
            </w:pPr>
            <w:r>
              <w:rPr>
                <w:rFonts w:hint="eastAsia" w:ascii="新宋体" w:hAnsi="新宋体" w:eastAsia="新宋体" w:cs="新宋体"/>
                <w:bCs/>
                <w:sz w:val="24"/>
              </w:rPr>
              <w:t>（1）满足资格审查条件最低要求得12分；</w:t>
            </w:r>
          </w:p>
          <w:p>
            <w:pPr>
              <w:spacing w:line="360" w:lineRule="exact"/>
              <w:rPr>
                <w:rFonts w:ascii="新宋体" w:hAnsi="新宋体" w:eastAsia="新宋体" w:cs="新宋体"/>
                <w:bCs/>
                <w:sz w:val="24"/>
              </w:rPr>
            </w:pPr>
            <w:r>
              <w:rPr>
                <w:rFonts w:hint="eastAsia" w:ascii="新宋体" w:hAnsi="新宋体" w:eastAsia="新宋体" w:cs="新宋体"/>
                <w:bCs/>
                <w:sz w:val="24"/>
              </w:rPr>
              <w:t>（2）在满足资格审查条件的基础上，每增加1项满足资格审查条件的设计项目负责人的个人业绩，加4分，最高加8分。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8" w:type="dxa"/>
            <w:vAlign w:val="center"/>
          </w:tcPr>
          <w:p>
            <w:pPr>
              <w:spacing w:line="400" w:lineRule="exact"/>
              <w:jc w:val="center"/>
              <w:rPr>
                <w:rFonts w:ascii="新宋体" w:hAnsi="新宋体" w:eastAsia="新宋体" w:cs="新宋体"/>
                <w:bCs/>
                <w:sz w:val="24"/>
              </w:rPr>
            </w:pPr>
            <w:r>
              <w:rPr>
                <w:rFonts w:hint="eastAsia" w:ascii="新宋体" w:hAnsi="新宋体" w:eastAsia="新宋体" w:cs="新宋体"/>
                <w:bCs/>
                <w:sz w:val="24"/>
              </w:rPr>
              <w:t>2.2.4（3）</w:t>
            </w:r>
          </w:p>
        </w:tc>
        <w:tc>
          <w:tcPr>
            <w:tcW w:w="1203" w:type="dxa"/>
            <w:gridSpan w:val="2"/>
            <w:vAlign w:val="center"/>
          </w:tcPr>
          <w:p>
            <w:pPr>
              <w:spacing w:line="400" w:lineRule="exact"/>
              <w:jc w:val="center"/>
              <w:rPr>
                <w:rFonts w:ascii="新宋体" w:hAnsi="新宋体" w:eastAsia="新宋体" w:cs="新宋体"/>
                <w:bCs/>
                <w:sz w:val="24"/>
              </w:rPr>
            </w:pPr>
            <w:r>
              <w:rPr>
                <w:rFonts w:hint="eastAsia" w:ascii="新宋体" w:hAnsi="新宋体" w:eastAsia="新宋体" w:cs="新宋体"/>
                <w:bCs/>
                <w:sz w:val="24"/>
              </w:rPr>
              <w:t>评标价</w:t>
            </w:r>
          </w:p>
        </w:tc>
        <w:tc>
          <w:tcPr>
            <w:tcW w:w="893" w:type="dxa"/>
            <w:vAlign w:val="center"/>
          </w:tcPr>
          <w:p>
            <w:pPr>
              <w:spacing w:line="400" w:lineRule="exact"/>
              <w:jc w:val="center"/>
              <w:rPr>
                <w:rFonts w:ascii="新宋体" w:hAnsi="新宋体" w:eastAsia="新宋体" w:cs="新宋体"/>
                <w:bCs/>
                <w:sz w:val="24"/>
              </w:rPr>
            </w:pPr>
            <w:r>
              <w:rPr>
                <w:rFonts w:hint="eastAsia" w:ascii="新宋体" w:hAnsi="新宋体" w:eastAsia="新宋体" w:cs="新宋体"/>
                <w:bCs/>
                <w:sz w:val="24"/>
              </w:rPr>
              <w:t>10分</w:t>
            </w:r>
          </w:p>
        </w:tc>
        <w:tc>
          <w:tcPr>
            <w:tcW w:w="5997" w:type="dxa"/>
            <w:gridSpan w:val="3"/>
          </w:tcPr>
          <w:p>
            <w:pPr>
              <w:spacing w:line="360" w:lineRule="exact"/>
              <w:rPr>
                <w:rFonts w:ascii="新宋体" w:hAnsi="新宋体" w:eastAsia="新宋体" w:cs="新宋体"/>
                <w:bCs/>
                <w:sz w:val="24"/>
              </w:rPr>
            </w:pPr>
            <w:r>
              <w:rPr>
                <w:rFonts w:hint="eastAsia" w:ascii="新宋体" w:hAnsi="新宋体" w:eastAsia="新宋体" w:cs="新宋体"/>
                <w:bCs/>
                <w:sz w:val="24"/>
              </w:rPr>
              <w:t>评标价：10分</w:t>
            </w:r>
          </w:p>
          <w:p>
            <w:pPr>
              <w:spacing w:line="360" w:lineRule="exact"/>
              <w:rPr>
                <w:rFonts w:ascii="新宋体" w:hAnsi="新宋体" w:eastAsia="新宋体" w:cs="新宋体"/>
                <w:bCs/>
                <w:sz w:val="24"/>
              </w:rPr>
            </w:pPr>
            <w:r>
              <w:rPr>
                <w:rFonts w:hint="eastAsia" w:ascii="新宋体" w:hAnsi="新宋体" w:eastAsia="新宋体" w:cs="新宋体"/>
                <w:bCs/>
                <w:sz w:val="24"/>
              </w:rPr>
              <w:t>评标价M得分计算公式示例：</w:t>
            </w:r>
          </w:p>
          <w:p>
            <w:pPr>
              <w:spacing w:line="360" w:lineRule="exact"/>
              <w:rPr>
                <w:rFonts w:ascii="新宋体" w:hAnsi="新宋体" w:eastAsia="新宋体" w:cs="新宋体"/>
                <w:bCs/>
                <w:sz w:val="24"/>
              </w:rPr>
            </w:pPr>
            <w:r>
              <w:rPr>
                <w:rFonts w:hint="eastAsia" w:ascii="新宋体" w:hAnsi="新宋体" w:eastAsia="新宋体" w:cs="新宋体"/>
                <w:bCs/>
                <w:sz w:val="24"/>
              </w:rPr>
              <w:t>（1）如果投标人的评标价＞评标基准价，则评标价得分M=10-偏差率×100×E1；</w:t>
            </w:r>
          </w:p>
          <w:p>
            <w:pPr>
              <w:spacing w:line="360" w:lineRule="exact"/>
              <w:rPr>
                <w:rFonts w:ascii="新宋体" w:hAnsi="新宋体" w:eastAsia="新宋体" w:cs="新宋体"/>
                <w:bCs/>
                <w:sz w:val="24"/>
              </w:rPr>
            </w:pPr>
            <w:r>
              <w:rPr>
                <w:rFonts w:hint="eastAsia" w:ascii="新宋体" w:hAnsi="新宋体" w:eastAsia="新宋体" w:cs="新宋体"/>
                <w:bCs/>
                <w:sz w:val="24"/>
              </w:rPr>
              <w:t>（2）如果投标人的评标价≤评标基准价，则评标价得分M=10+偏差率×100×E2；</w:t>
            </w:r>
          </w:p>
          <w:p>
            <w:pPr>
              <w:spacing w:line="360" w:lineRule="exact"/>
              <w:rPr>
                <w:rFonts w:ascii="新宋体" w:hAnsi="新宋体" w:eastAsia="新宋体" w:cs="新宋体"/>
                <w:bCs/>
                <w:sz w:val="24"/>
              </w:rPr>
            </w:pPr>
            <w:r>
              <w:rPr>
                <w:rFonts w:hint="eastAsia" w:ascii="新宋体" w:hAnsi="新宋体" w:eastAsia="新宋体" w:cs="新宋体"/>
                <w:bCs/>
                <w:sz w:val="24"/>
              </w:rPr>
              <w:t>其中：E1=0.2；E2=0.1</w:t>
            </w:r>
          </w:p>
          <w:p>
            <w:pPr>
              <w:spacing w:line="360" w:lineRule="exact"/>
              <w:rPr>
                <w:rFonts w:ascii="新宋体" w:hAnsi="新宋体" w:eastAsia="新宋体" w:cs="新宋体"/>
                <w:bCs/>
                <w:sz w:val="24"/>
              </w:rPr>
            </w:pPr>
            <w:r>
              <w:rPr>
                <w:rFonts w:hint="eastAsia" w:ascii="新宋体" w:hAnsi="新宋体" w:eastAsia="新宋体" w:cs="新宋体"/>
                <w:bCs/>
                <w:sz w:val="24"/>
              </w:rPr>
              <w:t>E1是评标价每高于评标基准价一个百分点的扣分值；E2是评标价每低于评标基准价一个百分点的扣分值。中间值按比例内插，四舍五入，保留两位小数。投标价得分最低为0分。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3" w:hRule="atLeast"/>
        </w:trPr>
        <w:tc>
          <w:tcPr>
            <w:tcW w:w="798" w:type="dxa"/>
            <w:vMerge w:val="restart"/>
            <w:vAlign w:val="center"/>
          </w:tcPr>
          <w:p>
            <w:pPr>
              <w:spacing w:line="400" w:lineRule="exact"/>
              <w:jc w:val="center"/>
              <w:rPr>
                <w:rFonts w:ascii="新宋体" w:hAnsi="新宋体" w:eastAsia="新宋体" w:cs="新宋体"/>
                <w:bCs/>
                <w:sz w:val="24"/>
              </w:rPr>
            </w:pPr>
            <w:r>
              <w:rPr>
                <w:rFonts w:hint="eastAsia" w:ascii="新宋体" w:hAnsi="新宋体" w:eastAsia="新宋体" w:cs="新宋体"/>
                <w:bCs/>
                <w:sz w:val="24"/>
              </w:rPr>
              <w:t>2.2.4（4）</w:t>
            </w:r>
          </w:p>
        </w:tc>
        <w:tc>
          <w:tcPr>
            <w:tcW w:w="1203" w:type="dxa"/>
            <w:gridSpan w:val="2"/>
            <w:vAlign w:val="center"/>
          </w:tcPr>
          <w:p>
            <w:pPr>
              <w:spacing w:line="360" w:lineRule="exact"/>
              <w:jc w:val="center"/>
              <w:rPr>
                <w:rFonts w:ascii="新宋体" w:hAnsi="新宋体" w:eastAsia="新宋体" w:cs="新宋体"/>
                <w:bCs/>
                <w:sz w:val="24"/>
              </w:rPr>
            </w:pPr>
            <w:r>
              <w:rPr>
                <w:rFonts w:hint="eastAsia" w:ascii="新宋体" w:hAnsi="新宋体" w:eastAsia="新宋体" w:cs="新宋体"/>
                <w:bCs/>
                <w:sz w:val="24"/>
              </w:rPr>
              <w:t>业绩</w:t>
            </w:r>
          </w:p>
        </w:tc>
        <w:tc>
          <w:tcPr>
            <w:tcW w:w="893" w:type="dxa"/>
            <w:vAlign w:val="center"/>
          </w:tcPr>
          <w:p>
            <w:pPr>
              <w:spacing w:line="360" w:lineRule="exact"/>
              <w:jc w:val="center"/>
              <w:rPr>
                <w:rFonts w:ascii="新宋体" w:hAnsi="新宋体" w:eastAsia="新宋体" w:cs="新宋体"/>
                <w:bCs/>
                <w:sz w:val="24"/>
              </w:rPr>
            </w:pPr>
            <w:r>
              <w:rPr>
                <w:rFonts w:hint="eastAsia" w:ascii="新宋体" w:hAnsi="新宋体" w:eastAsia="新宋体" w:cs="新宋体"/>
                <w:bCs/>
                <w:sz w:val="24"/>
              </w:rPr>
              <w:t>20分</w:t>
            </w:r>
          </w:p>
        </w:tc>
        <w:tc>
          <w:tcPr>
            <w:tcW w:w="1864" w:type="dxa"/>
            <w:vAlign w:val="center"/>
          </w:tcPr>
          <w:p>
            <w:pPr>
              <w:spacing w:line="360" w:lineRule="exact"/>
              <w:jc w:val="center"/>
              <w:rPr>
                <w:rFonts w:ascii="新宋体" w:hAnsi="新宋体" w:eastAsia="新宋体" w:cs="新宋体"/>
                <w:bCs/>
                <w:sz w:val="24"/>
              </w:rPr>
            </w:pPr>
            <w:r>
              <w:rPr>
                <w:rFonts w:hint="eastAsia" w:ascii="新宋体" w:hAnsi="新宋体" w:eastAsia="新宋体" w:cs="新宋体"/>
                <w:bCs/>
                <w:sz w:val="24"/>
              </w:rPr>
              <w:t>投标人与本项目相关的具体业绩</w:t>
            </w:r>
          </w:p>
        </w:tc>
        <w:tc>
          <w:tcPr>
            <w:tcW w:w="573" w:type="dxa"/>
            <w:vAlign w:val="center"/>
          </w:tcPr>
          <w:p>
            <w:pPr>
              <w:spacing w:line="360" w:lineRule="exact"/>
              <w:jc w:val="center"/>
              <w:rPr>
                <w:rFonts w:ascii="新宋体" w:hAnsi="新宋体" w:eastAsia="新宋体" w:cs="新宋体"/>
                <w:bCs/>
                <w:sz w:val="24"/>
              </w:rPr>
            </w:pPr>
            <w:r>
              <w:rPr>
                <w:rFonts w:hint="eastAsia" w:ascii="新宋体" w:hAnsi="新宋体" w:eastAsia="新宋体" w:cs="新宋体"/>
                <w:bCs/>
                <w:sz w:val="24"/>
              </w:rPr>
              <w:t>20分</w:t>
            </w:r>
          </w:p>
        </w:tc>
        <w:tc>
          <w:tcPr>
            <w:tcW w:w="3560" w:type="dxa"/>
            <w:vAlign w:val="center"/>
          </w:tcPr>
          <w:p>
            <w:pPr>
              <w:spacing w:line="360" w:lineRule="exact"/>
              <w:jc w:val="left"/>
              <w:rPr>
                <w:rFonts w:ascii="新宋体" w:hAnsi="新宋体" w:eastAsia="新宋体" w:cs="新宋体"/>
                <w:bCs/>
                <w:sz w:val="24"/>
              </w:rPr>
            </w:pPr>
            <w:r>
              <w:rPr>
                <w:rFonts w:hint="eastAsia" w:ascii="新宋体" w:hAnsi="新宋体" w:eastAsia="新宋体" w:cs="新宋体"/>
                <w:bCs/>
                <w:sz w:val="24"/>
              </w:rPr>
              <w:t>（1）满足资格审查条件最低要求得12分；</w:t>
            </w:r>
          </w:p>
          <w:p>
            <w:pPr>
              <w:spacing w:line="360" w:lineRule="exact"/>
              <w:jc w:val="left"/>
              <w:rPr>
                <w:rFonts w:ascii="新宋体" w:hAnsi="新宋体" w:eastAsia="新宋体" w:cs="新宋体"/>
                <w:bCs/>
                <w:sz w:val="24"/>
              </w:rPr>
            </w:pPr>
            <w:r>
              <w:rPr>
                <w:rFonts w:hint="eastAsia" w:ascii="新宋体" w:hAnsi="新宋体" w:eastAsia="新宋体" w:cs="新宋体"/>
                <w:bCs/>
                <w:sz w:val="24"/>
              </w:rPr>
              <w:t>（2）在满足资格审查条件的基础上，每增加1项满足资格审查条件的业绩加4分，最高加8分。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8" w:type="dxa"/>
            <w:vMerge w:val="continue"/>
            <w:vAlign w:val="center"/>
          </w:tcPr>
          <w:p>
            <w:pPr>
              <w:spacing w:line="400" w:lineRule="exact"/>
              <w:jc w:val="center"/>
              <w:rPr>
                <w:rFonts w:ascii="新宋体" w:hAnsi="新宋体" w:eastAsia="新宋体" w:cs="新宋体"/>
                <w:bCs/>
                <w:sz w:val="24"/>
              </w:rPr>
            </w:pPr>
          </w:p>
        </w:tc>
        <w:tc>
          <w:tcPr>
            <w:tcW w:w="1203" w:type="dxa"/>
            <w:gridSpan w:val="2"/>
            <w:vAlign w:val="center"/>
          </w:tcPr>
          <w:p>
            <w:pPr>
              <w:spacing w:line="360" w:lineRule="exact"/>
              <w:jc w:val="center"/>
              <w:rPr>
                <w:rFonts w:ascii="新宋体" w:hAnsi="新宋体" w:eastAsia="新宋体" w:cs="新宋体"/>
                <w:bCs/>
                <w:sz w:val="24"/>
              </w:rPr>
            </w:pPr>
            <w:r>
              <w:rPr>
                <w:rFonts w:hint="eastAsia" w:ascii="新宋体" w:hAnsi="新宋体" w:eastAsia="新宋体" w:cs="新宋体"/>
                <w:bCs/>
                <w:sz w:val="24"/>
              </w:rPr>
              <w:t>履约</w:t>
            </w:r>
          </w:p>
          <w:p>
            <w:pPr>
              <w:spacing w:line="360" w:lineRule="exact"/>
              <w:jc w:val="center"/>
              <w:rPr>
                <w:rFonts w:ascii="新宋体" w:hAnsi="新宋体" w:eastAsia="新宋体" w:cs="新宋体"/>
                <w:bCs/>
                <w:sz w:val="24"/>
              </w:rPr>
            </w:pPr>
            <w:r>
              <w:rPr>
                <w:rFonts w:hint="eastAsia" w:ascii="新宋体" w:hAnsi="新宋体" w:eastAsia="新宋体" w:cs="新宋体"/>
                <w:bCs/>
                <w:sz w:val="24"/>
              </w:rPr>
              <w:t>信誉</w:t>
            </w:r>
          </w:p>
        </w:tc>
        <w:tc>
          <w:tcPr>
            <w:tcW w:w="893" w:type="dxa"/>
            <w:vAlign w:val="center"/>
          </w:tcPr>
          <w:p>
            <w:pPr>
              <w:spacing w:line="360" w:lineRule="exact"/>
              <w:jc w:val="center"/>
              <w:rPr>
                <w:rFonts w:ascii="新宋体" w:hAnsi="新宋体" w:eastAsia="新宋体" w:cs="新宋体"/>
                <w:bCs/>
                <w:sz w:val="24"/>
              </w:rPr>
            </w:pPr>
            <w:r>
              <w:rPr>
                <w:rFonts w:hint="eastAsia" w:ascii="新宋体" w:hAnsi="新宋体" w:eastAsia="新宋体" w:cs="新宋体"/>
                <w:bCs/>
                <w:sz w:val="24"/>
              </w:rPr>
              <w:t>5分</w:t>
            </w:r>
          </w:p>
        </w:tc>
        <w:tc>
          <w:tcPr>
            <w:tcW w:w="1864" w:type="dxa"/>
            <w:vAlign w:val="center"/>
          </w:tcPr>
          <w:p>
            <w:pPr>
              <w:spacing w:line="360" w:lineRule="exact"/>
              <w:jc w:val="center"/>
              <w:rPr>
                <w:rFonts w:ascii="新宋体" w:hAnsi="新宋体" w:eastAsia="新宋体" w:cs="新宋体"/>
                <w:bCs/>
                <w:sz w:val="24"/>
              </w:rPr>
            </w:pPr>
            <w:r>
              <w:rPr>
                <w:rFonts w:hint="eastAsia" w:ascii="新宋体" w:hAnsi="新宋体" w:eastAsia="新宋体" w:cs="新宋体"/>
                <w:bCs/>
                <w:sz w:val="24"/>
              </w:rPr>
              <w:t>投标人的信誉</w:t>
            </w:r>
          </w:p>
        </w:tc>
        <w:tc>
          <w:tcPr>
            <w:tcW w:w="573" w:type="dxa"/>
            <w:vAlign w:val="center"/>
          </w:tcPr>
          <w:p>
            <w:pPr>
              <w:spacing w:line="360" w:lineRule="exact"/>
              <w:jc w:val="center"/>
              <w:rPr>
                <w:rFonts w:ascii="新宋体" w:hAnsi="新宋体" w:eastAsia="新宋体" w:cs="新宋体"/>
                <w:bCs/>
                <w:sz w:val="24"/>
              </w:rPr>
            </w:pPr>
            <w:r>
              <w:rPr>
                <w:rFonts w:hint="eastAsia" w:ascii="新宋体" w:hAnsi="新宋体" w:eastAsia="新宋体" w:cs="新宋体"/>
                <w:bCs/>
                <w:sz w:val="24"/>
              </w:rPr>
              <w:t>5分</w:t>
            </w:r>
          </w:p>
        </w:tc>
        <w:tc>
          <w:tcPr>
            <w:tcW w:w="3560" w:type="dxa"/>
          </w:tcPr>
          <w:p>
            <w:pPr>
              <w:spacing w:line="360" w:lineRule="exact"/>
              <w:jc w:val="left"/>
              <w:rPr>
                <w:rFonts w:ascii="新宋体" w:hAnsi="新宋体" w:eastAsia="新宋体" w:cs="新宋体"/>
                <w:bCs/>
                <w:sz w:val="24"/>
              </w:rPr>
            </w:pPr>
            <w:r>
              <w:rPr>
                <w:rFonts w:hint="eastAsia" w:ascii="新宋体" w:hAnsi="新宋体" w:eastAsia="新宋体" w:cs="新宋体"/>
                <w:bCs/>
                <w:sz w:val="24"/>
              </w:rPr>
              <w:t>（1）在陕西省2019年度普通干线公路建设市场设计从业单位信用评价结果或陕西省2019年度高速公路设计从业企业信用评价结果中连续三年“AA”企业的得5分；</w:t>
            </w:r>
          </w:p>
          <w:p>
            <w:pPr>
              <w:spacing w:line="360" w:lineRule="exact"/>
              <w:jc w:val="left"/>
              <w:rPr>
                <w:rFonts w:ascii="新宋体" w:hAnsi="新宋体" w:eastAsia="新宋体" w:cs="新宋体"/>
                <w:bCs/>
                <w:sz w:val="24"/>
              </w:rPr>
            </w:pPr>
            <w:r>
              <w:rPr>
                <w:rFonts w:hint="eastAsia" w:ascii="新宋体" w:hAnsi="新宋体" w:eastAsia="新宋体" w:cs="新宋体"/>
                <w:bCs/>
                <w:sz w:val="24"/>
              </w:rPr>
              <w:t>（2）交通运输部发布的2019年度公路设计企业全国综合信用评价结果或陕西省2019年度高速公路设计从业企业信用评价结果或陕西省2019年度普通干线公路建设设计企业信用评价结果，评为“AA”得4.5分；评为“A”得4分，评为“B”得3.5分，评为“C”的得3分（本项如陕西省评价结果与交通运输部评价结果不同，按信用等级较高的为准）</w:t>
            </w:r>
          </w:p>
          <w:p>
            <w:pPr>
              <w:spacing w:line="360" w:lineRule="exact"/>
              <w:jc w:val="left"/>
              <w:rPr>
                <w:rFonts w:ascii="新宋体" w:hAnsi="新宋体" w:eastAsia="新宋体" w:cs="新宋体"/>
                <w:bCs/>
                <w:sz w:val="24"/>
              </w:rPr>
            </w:pPr>
            <w:r>
              <w:rPr>
                <w:rFonts w:hint="eastAsia" w:ascii="新宋体" w:hAnsi="新宋体" w:eastAsia="新宋体" w:cs="新宋体"/>
                <w:bCs/>
                <w:sz w:val="24"/>
              </w:rPr>
              <w:t>注：本项最多得5分，（1）和（2）不同时加分。尚无全国综合评价及陕西省评价的投标人，若无不良信用记录，可按A级对待。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8" w:type="dxa"/>
            <w:vAlign w:val="center"/>
          </w:tcPr>
          <w:p>
            <w:pPr>
              <w:spacing w:line="400" w:lineRule="exact"/>
              <w:jc w:val="center"/>
              <w:rPr>
                <w:rFonts w:ascii="新宋体" w:hAnsi="新宋体" w:eastAsia="新宋体" w:cs="新宋体"/>
                <w:bCs/>
                <w:sz w:val="24"/>
              </w:rPr>
            </w:pPr>
          </w:p>
        </w:tc>
        <w:tc>
          <w:tcPr>
            <w:tcW w:w="1203" w:type="dxa"/>
            <w:gridSpan w:val="2"/>
            <w:vAlign w:val="center"/>
          </w:tcPr>
          <w:p>
            <w:pPr>
              <w:spacing w:line="360" w:lineRule="exact"/>
              <w:jc w:val="center"/>
              <w:rPr>
                <w:rFonts w:ascii="新宋体" w:hAnsi="新宋体" w:eastAsia="新宋体" w:cs="新宋体"/>
                <w:bCs/>
                <w:sz w:val="24"/>
              </w:rPr>
            </w:pPr>
            <w:r>
              <w:rPr>
                <w:rFonts w:hint="eastAsia" w:ascii="新宋体" w:hAnsi="新宋体" w:eastAsia="新宋体" w:cs="新宋体"/>
                <w:bCs/>
                <w:sz w:val="24"/>
              </w:rPr>
              <w:t>技术</w:t>
            </w:r>
          </w:p>
          <w:p>
            <w:pPr>
              <w:spacing w:line="360" w:lineRule="exact"/>
              <w:jc w:val="center"/>
              <w:rPr>
                <w:rFonts w:ascii="新宋体" w:hAnsi="新宋体" w:eastAsia="新宋体" w:cs="新宋体"/>
                <w:bCs/>
                <w:sz w:val="24"/>
              </w:rPr>
            </w:pPr>
            <w:r>
              <w:rPr>
                <w:rFonts w:hint="eastAsia" w:ascii="新宋体" w:hAnsi="新宋体" w:eastAsia="新宋体" w:cs="新宋体"/>
                <w:bCs/>
                <w:sz w:val="24"/>
              </w:rPr>
              <w:t>能力</w:t>
            </w:r>
          </w:p>
        </w:tc>
        <w:tc>
          <w:tcPr>
            <w:tcW w:w="893" w:type="dxa"/>
            <w:vAlign w:val="center"/>
          </w:tcPr>
          <w:p>
            <w:pPr>
              <w:spacing w:line="360" w:lineRule="exact"/>
              <w:jc w:val="center"/>
              <w:rPr>
                <w:rFonts w:ascii="新宋体" w:hAnsi="新宋体" w:eastAsia="新宋体" w:cs="新宋体"/>
                <w:bCs/>
                <w:sz w:val="24"/>
              </w:rPr>
            </w:pPr>
            <w:r>
              <w:rPr>
                <w:rFonts w:hint="eastAsia" w:ascii="新宋体" w:hAnsi="新宋体" w:eastAsia="新宋体" w:cs="新宋体"/>
                <w:bCs/>
                <w:sz w:val="24"/>
              </w:rPr>
              <w:t>5分</w:t>
            </w:r>
          </w:p>
        </w:tc>
        <w:tc>
          <w:tcPr>
            <w:tcW w:w="1864" w:type="dxa"/>
            <w:vAlign w:val="center"/>
          </w:tcPr>
          <w:p>
            <w:pPr>
              <w:spacing w:line="360" w:lineRule="exact"/>
              <w:jc w:val="center"/>
              <w:rPr>
                <w:rFonts w:ascii="新宋体" w:hAnsi="新宋体" w:eastAsia="新宋体" w:cs="新宋体"/>
                <w:bCs/>
                <w:sz w:val="24"/>
              </w:rPr>
            </w:pPr>
            <w:r>
              <w:rPr>
                <w:rFonts w:hint="eastAsia" w:ascii="新宋体" w:hAnsi="新宋体" w:eastAsia="新宋体" w:cs="新宋体"/>
                <w:bCs/>
                <w:sz w:val="24"/>
              </w:rPr>
              <w:t>投标人的</w:t>
            </w:r>
          </w:p>
          <w:p>
            <w:pPr>
              <w:spacing w:line="360" w:lineRule="exact"/>
              <w:jc w:val="center"/>
              <w:rPr>
                <w:rFonts w:ascii="新宋体" w:hAnsi="新宋体" w:eastAsia="新宋体" w:cs="新宋体"/>
                <w:bCs/>
                <w:sz w:val="24"/>
              </w:rPr>
            </w:pPr>
            <w:r>
              <w:rPr>
                <w:rFonts w:hint="eastAsia" w:ascii="新宋体" w:hAnsi="新宋体" w:eastAsia="新宋体" w:cs="新宋体"/>
                <w:bCs/>
                <w:sz w:val="24"/>
              </w:rPr>
              <w:t>技术能力</w:t>
            </w:r>
          </w:p>
        </w:tc>
        <w:tc>
          <w:tcPr>
            <w:tcW w:w="573" w:type="dxa"/>
            <w:vAlign w:val="center"/>
          </w:tcPr>
          <w:p>
            <w:pPr>
              <w:spacing w:line="360" w:lineRule="exact"/>
              <w:jc w:val="center"/>
              <w:rPr>
                <w:rFonts w:ascii="新宋体" w:hAnsi="新宋体" w:eastAsia="新宋体" w:cs="新宋体"/>
                <w:bCs/>
                <w:sz w:val="24"/>
              </w:rPr>
            </w:pPr>
            <w:r>
              <w:rPr>
                <w:rFonts w:hint="eastAsia" w:ascii="新宋体" w:hAnsi="新宋体" w:eastAsia="新宋体" w:cs="新宋体"/>
                <w:bCs/>
                <w:sz w:val="24"/>
              </w:rPr>
              <w:t>5分</w:t>
            </w:r>
          </w:p>
        </w:tc>
        <w:tc>
          <w:tcPr>
            <w:tcW w:w="3560" w:type="dxa"/>
          </w:tcPr>
          <w:p>
            <w:pPr>
              <w:spacing w:line="360" w:lineRule="exact"/>
              <w:jc w:val="left"/>
              <w:rPr>
                <w:rFonts w:ascii="新宋体" w:hAnsi="新宋体" w:eastAsia="新宋体" w:cs="新宋体"/>
                <w:bCs/>
                <w:sz w:val="24"/>
              </w:rPr>
            </w:pPr>
            <w:r>
              <w:rPr>
                <w:rFonts w:hint="eastAsia" w:ascii="新宋体" w:hAnsi="新宋体" w:eastAsia="新宋体" w:cs="新宋体"/>
                <w:bCs/>
                <w:sz w:val="24"/>
              </w:rPr>
              <w:t>近5年内每获得1项与工程咨询管理（包括勘察设计、监理等工程咨询工作）有关的专利（发明专利或实用新型专利）、国家或省级勘察设计奖，主编或参编过的国家、行业或地方标准的，每有1项国家级的加2分；每获得1项省部级的加1分。本项最高得5分。</w:t>
            </w:r>
          </w:p>
          <w:p>
            <w:pPr>
              <w:numPr>
                <w:ilvl w:val="255"/>
                <w:numId w:val="0"/>
              </w:numPr>
              <w:spacing w:line="360" w:lineRule="exact"/>
              <w:jc w:val="left"/>
              <w:rPr>
                <w:rFonts w:ascii="新宋体" w:hAnsi="新宋体" w:eastAsia="新宋体" w:cs="新宋体"/>
                <w:bCs/>
                <w:sz w:val="24"/>
              </w:rPr>
            </w:pPr>
            <w:r>
              <w:rPr>
                <w:rFonts w:hint="eastAsia" w:ascii="新宋体" w:hAnsi="新宋体" w:eastAsia="新宋体" w:cs="新宋体"/>
                <w:bCs/>
                <w:sz w:val="24"/>
              </w:rPr>
              <w:t>注：同一项目的奖项仅按最高奖项进行加分，含中国公路勘察设计协会等行业协会奖项。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trPr>
        <w:tc>
          <w:tcPr>
            <w:tcW w:w="8891" w:type="dxa"/>
            <w:gridSpan w:val="7"/>
          </w:tcPr>
          <w:p>
            <w:pPr>
              <w:spacing w:line="400" w:lineRule="exact"/>
              <w:ind w:firstLine="480" w:firstLineChars="200"/>
              <w:rPr>
                <w:rFonts w:ascii="新宋体" w:hAnsi="新宋体" w:eastAsia="新宋体" w:cs="新宋体"/>
                <w:sz w:val="24"/>
              </w:rPr>
            </w:pPr>
            <w:r>
              <w:rPr>
                <w:rFonts w:hint="eastAsia" w:ascii="新宋体" w:hAnsi="新宋体" w:eastAsia="新宋体" w:cs="新宋体"/>
                <w:sz w:val="24"/>
              </w:rPr>
              <w:t>需要补充的其他内容：</w:t>
            </w:r>
          </w:p>
          <w:p>
            <w:pPr>
              <w:spacing w:line="400" w:lineRule="exact"/>
              <w:ind w:firstLine="480" w:firstLineChars="200"/>
              <w:rPr>
                <w:rFonts w:ascii="新宋体" w:hAnsi="新宋体" w:eastAsia="新宋体" w:cs="新宋体"/>
                <w:sz w:val="24"/>
              </w:rPr>
            </w:pPr>
            <w:r>
              <w:rPr>
                <w:rFonts w:hint="eastAsia" w:ascii="新宋体" w:hAnsi="新宋体" w:eastAsia="新宋体" w:cs="新宋体"/>
                <w:sz w:val="24"/>
              </w:rPr>
              <w:t>1、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spacing w:line="400" w:lineRule="exact"/>
              <w:ind w:firstLine="480" w:firstLineChars="200"/>
              <w:rPr>
                <w:rFonts w:ascii="新宋体" w:hAnsi="新宋体" w:eastAsia="新宋体" w:cs="新宋体"/>
                <w:bCs/>
                <w:sz w:val="24"/>
              </w:rPr>
            </w:pPr>
            <w:r>
              <w:rPr>
                <w:rFonts w:hint="eastAsia" w:ascii="新宋体" w:hAnsi="新宋体" w:eastAsia="新宋体" w:cs="新宋体"/>
                <w:sz w:val="24"/>
              </w:rPr>
              <w:t>2、推荐的中标候选人的人数为3名；评标委员会对投标文件进行评审后，因有效投标不足3个，应否决全部投标。</w:t>
            </w:r>
          </w:p>
        </w:tc>
      </w:tr>
    </w:tbl>
    <w:p>
      <w:pPr>
        <w:pStyle w:val="3"/>
        <w:spacing w:before="10" w:after="0" w:line="400" w:lineRule="exact"/>
        <w:rPr>
          <w:rFonts w:ascii="新宋体" w:hAnsi="新宋体" w:eastAsia="新宋体" w:cs="新宋体"/>
          <w:b w:val="0"/>
          <w:sz w:val="24"/>
          <w:szCs w:val="24"/>
        </w:rPr>
      </w:pPr>
      <w:bookmarkStart w:id="306" w:name="_Toc3606_WPSOffice_Level2"/>
      <w:bookmarkStart w:id="307" w:name="_Toc32682_WPSOffice_Level2"/>
      <w:bookmarkStart w:id="308" w:name="_Toc10146_WPSOffice_Level2"/>
      <w:bookmarkStart w:id="309" w:name="_Toc27372_WPSOffice_Level2"/>
      <w:bookmarkStart w:id="310" w:name="_Toc8756"/>
      <w:bookmarkStart w:id="311" w:name="_Toc509993883"/>
      <w:bookmarkStart w:id="312" w:name="_Toc234832944"/>
    </w:p>
    <w:p>
      <w:pPr>
        <w:pStyle w:val="3"/>
        <w:spacing w:before="10" w:after="0" w:line="400" w:lineRule="exact"/>
        <w:rPr>
          <w:rFonts w:ascii="新宋体" w:hAnsi="新宋体" w:eastAsia="新宋体" w:cs="新宋体"/>
          <w:bCs w:val="0"/>
          <w:sz w:val="24"/>
          <w:szCs w:val="24"/>
        </w:rPr>
      </w:pPr>
      <w:r>
        <w:rPr>
          <w:rFonts w:hint="eastAsia" w:ascii="新宋体" w:hAnsi="新宋体" w:eastAsia="新宋体" w:cs="新宋体"/>
          <w:bCs w:val="0"/>
          <w:sz w:val="24"/>
          <w:szCs w:val="24"/>
        </w:rPr>
        <w:t>1. 评标方法</w:t>
      </w:r>
      <w:bookmarkEnd w:id="306"/>
      <w:bookmarkEnd w:id="307"/>
      <w:bookmarkEnd w:id="308"/>
      <w:bookmarkEnd w:id="309"/>
      <w:bookmarkEnd w:id="310"/>
      <w:bookmarkEnd w:id="311"/>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综合评分相等时，评标委员会应按照评标办法前附表规定的优先次序推荐中标候选人或确定中标人。</w:t>
      </w:r>
    </w:p>
    <w:p>
      <w:pPr>
        <w:pStyle w:val="3"/>
        <w:spacing w:before="10" w:after="0" w:line="400" w:lineRule="exact"/>
        <w:rPr>
          <w:rFonts w:ascii="新宋体" w:hAnsi="新宋体" w:eastAsia="新宋体" w:cs="新宋体"/>
          <w:b w:val="0"/>
          <w:sz w:val="24"/>
          <w:szCs w:val="24"/>
        </w:rPr>
      </w:pPr>
      <w:bookmarkStart w:id="313" w:name="_Toc14871_WPSOffice_Level2"/>
      <w:bookmarkStart w:id="314" w:name="_Toc20884"/>
      <w:bookmarkStart w:id="315" w:name="_Toc32707_WPSOffice_Level2"/>
      <w:bookmarkStart w:id="316" w:name="_Toc30860_WPSOffice_Level2"/>
      <w:bookmarkStart w:id="317" w:name="_Toc509993884"/>
      <w:bookmarkStart w:id="318" w:name="_Toc3425_WPSOffice_Level2"/>
      <w:r>
        <w:rPr>
          <w:rFonts w:hint="eastAsia" w:ascii="新宋体" w:hAnsi="新宋体" w:eastAsia="新宋体" w:cs="新宋体"/>
          <w:b w:val="0"/>
          <w:sz w:val="24"/>
          <w:szCs w:val="24"/>
        </w:rPr>
        <w:t>2. 评审标准</w:t>
      </w:r>
      <w:bookmarkEnd w:id="313"/>
      <w:bookmarkEnd w:id="314"/>
      <w:bookmarkEnd w:id="315"/>
      <w:bookmarkEnd w:id="316"/>
      <w:bookmarkEnd w:id="317"/>
      <w:bookmarkEnd w:id="318"/>
    </w:p>
    <w:p>
      <w:pPr>
        <w:pStyle w:val="3"/>
        <w:spacing w:before="10" w:after="0" w:line="400" w:lineRule="exact"/>
        <w:rPr>
          <w:rFonts w:ascii="新宋体" w:hAnsi="新宋体" w:eastAsia="新宋体" w:cs="新宋体"/>
          <w:b w:val="0"/>
          <w:sz w:val="24"/>
          <w:szCs w:val="24"/>
        </w:rPr>
      </w:pPr>
      <w:bookmarkStart w:id="319" w:name="_Toc509993885"/>
      <w:bookmarkStart w:id="320" w:name="_Toc14059"/>
      <w:r>
        <w:rPr>
          <w:rFonts w:hint="eastAsia" w:ascii="新宋体" w:hAnsi="新宋体" w:eastAsia="新宋体" w:cs="新宋体"/>
          <w:b w:val="0"/>
          <w:sz w:val="24"/>
          <w:szCs w:val="24"/>
        </w:rPr>
        <w:t>2.1 初步评审标准</w:t>
      </w:r>
      <w:bookmarkEnd w:id="319"/>
      <w:bookmarkEnd w:id="320"/>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2.1.1 形式评审标准：见评标办法前附表。</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2.1.2 资格评审标准：见评标办法前附表。（适用于未进行资格预审的）</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2.1.2 资格评审标准：见资格预审文件第三章“资格审查办法”详细审查标准。（适用于已进行资格预审的）</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2.1.3 响应性评审标准：见评标办法前附表。</w:t>
      </w:r>
    </w:p>
    <w:p>
      <w:pPr>
        <w:pStyle w:val="3"/>
        <w:spacing w:before="10" w:after="0" w:line="400" w:lineRule="exact"/>
        <w:rPr>
          <w:rFonts w:ascii="新宋体" w:hAnsi="新宋体" w:eastAsia="新宋体" w:cs="新宋体"/>
          <w:b w:val="0"/>
          <w:sz w:val="24"/>
          <w:szCs w:val="24"/>
        </w:rPr>
      </w:pPr>
      <w:bookmarkStart w:id="321" w:name="_Toc498"/>
      <w:bookmarkStart w:id="322" w:name="_Toc509993886"/>
      <w:r>
        <w:rPr>
          <w:rFonts w:hint="eastAsia" w:ascii="新宋体" w:hAnsi="新宋体" w:eastAsia="新宋体" w:cs="新宋体"/>
          <w:b w:val="0"/>
          <w:sz w:val="24"/>
          <w:szCs w:val="24"/>
        </w:rPr>
        <w:t>2.2 分值构成与评分标准</w:t>
      </w:r>
      <w:bookmarkEnd w:id="321"/>
      <w:bookmarkEnd w:id="322"/>
    </w:p>
    <w:p>
      <w:pPr>
        <w:tabs>
          <w:tab w:val="left" w:pos="360"/>
        </w:tabs>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2.2.1 分值构成</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（1）技术建议书：见评标办法前附表；</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（2）主要人员：见评标办法前附表；</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（3）评标价：见评标办法前附表；</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（4）其他评分因素：见评标办法前附表。</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2.2.2 评标基准价计算</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评标基准价计算方法：见评标办法前附表。</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2.2.3 评标价的偏差率计算</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评标价的偏差率计算公式：见评标办法前附表。</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2.2.4 评分标准</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（1）技术建议书评分标准：见评标办法前附表；</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（2）主要人员评分标准：见评标办法前附表；</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（3）评标价评分标准：见评标办法前附表；</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（4）其他因素评分标准：见评标办法前附表。</w:t>
      </w:r>
    </w:p>
    <w:p>
      <w:pPr>
        <w:pStyle w:val="3"/>
        <w:spacing w:before="10" w:after="0" w:line="400" w:lineRule="exact"/>
        <w:rPr>
          <w:rFonts w:ascii="新宋体" w:hAnsi="新宋体" w:eastAsia="新宋体" w:cs="新宋体"/>
          <w:b w:val="0"/>
          <w:sz w:val="24"/>
          <w:szCs w:val="24"/>
        </w:rPr>
      </w:pPr>
      <w:bookmarkStart w:id="323" w:name="_Toc16011_WPSOffice_Level2"/>
      <w:bookmarkStart w:id="324" w:name="_Toc28521"/>
      <w:bookmarkStart w:id="325" w:name="_Toc17922_WPSOffice_Level2"/>
      <w:bookmarkStart w:id="326" w:name="_Toc7250_WPSOffice_Level2"/>
      <w:bookmarkStart w:id="327" w:name="_Toc509993887"/>
      <w:bookmarkStart w:id="328" w:name="_Toc26343_WPSOffice_Level2"/>
      <w:r>
        <w:rPr>
          <w:rFonts w:hint="eastAsia" w:ascii="新宋体" w:hAnsi="新宋体" w:eastAsia="新宋体" w:cs="新宋体"/>
          <w:b w:val="0"/>
          <w:sz w:val="24"/>
          <w:szCs w:val="24"/>
        </w:rPr>
        <w:t>3. 评标程序</w:t>
      </w:r>
      <w:bookmarkEnd w:id="323"/>
      <w:bookmarkEnd w:id="324"/>
      <w:bookmarkEnd w:id="325"/>
      <w:bookmarkEnd w:id="326"/>
      <w:bookmarkEnd w:id="327"/>
      <w:bookmarkEnd w:id="328"/>
    </w:p>
    <w:p>
      <w:pPr>
        <w:pStyle w:val="3"/>
        <w:spacing w:before="10" w:after="0" w:line="400" w:lineRule="exact"/>
        <w:rPr>
          <w:rFonts w:ascii="新宋体" w:hAnsi="新宋体" w:eastAsia="新宋体" w:cs="新宋体"/>
          <w:b w:val="0"/>
          <w:sz w:val="24"/>
          <w:szCs w:val="24"/>
        </w:rPr>
      </w:pPr>
      <w:bookmarkStart w:id="329" w:name="_Toc509993888"/>
      <w:bookmarkStart w:id="330" w:name="_Toc15441"/>
      <w:r>
        <w:rPr>
          <w:rFonts w:hint="eastAsia" w:ascii="新宋体" w:hAnsi="新宋体" w:eastAsia="新宋体" w:cs="新宋体"/>
          <w:b w:val="0"/>
          <w:sz w:val="24"/>
          <w:szCs w:val="24"/>
        </w:rPr>
        <w:t>3.1 第一个信封初步评审</w:t>
      </w:r>
      <w:bookmarkEnd w:id="329"/>
      <w:bookmarkEnd w:id="330"/>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3.1.1 评标委员会可以要求投标人提交第二章“投标人须知”第3.5.1项至第3.5.5项规定的有关证明和证件的原件，以便核验。评标委员会依据本章第2.1款规定的标准对投标文件第一个信封（商务及技术文件）进行初步评审。有一项不符合评审标准的，评标委员会应否决其投标。（适用于未进行资格预审的）</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3.1.1 评标委员会依据本章第2.1.1项、第2.1.3项规定的评审标准对投标文件第一个信封（商务及技术文件）进行初步评审。有一项不符合评审标准的，评标委员会应否决其投标。当投标人资格预审申请文件的内容发生重大变化时，评标委员会依据本章第2.1.2项规定的标准对其更新资料进行评审。（适用于已进行资格预审的）</w:t>
      </w:r>
    </w:p>
    <w:p>
      <w:pPr>
        <w:pStyle w:val="3"/>
        <w:spacing w:before="10" w:after="0" w:line="400" w:lineRule="exact"/>
        <w:rPr>
          <w:rFonts w:ascii="新宋体" w:hAnsi="新宋体" w:eastAsia="新宋体" w:cs="新宋体"/>
          <w:b w:val="0"/>
          <w:sz w:val="24"/>
          <w:szCs w:val="24"/>
        </w:rPr>
      </w:pPr>
      <w:bookmarkStart w:id="331" w:name="_Toc509993889"/>
      <w:bookmarkStart w:id="332" w:name="_Toc21215"/>
      <w:r>
        <w:rPr>
          <w:rFonts w:hint="eastAsia" w:ascii="新宋体" w:hAnsi="新宋体" w:eastAsia="新宋体" w:cs="新宋体"/>
          <w:b w:val="0"/>
          <w:sz w:val="24"/>
          <w:szCs w:val="24"/>
        </w:rPr>
        <w:t>3.2 第一个信封详细评审</w:t>
      </w:r>
      <w:bookmarkEnd w:id="331"/>
      <w:bookmarkEnd w:id="332"/>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3.2.1 评标委员会按本章第2.2款规定的量化因素和分值进行打分，并计算出各投标人的商务和技术得分。</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（1）按本章第2.2.4项（1）目规定的评审因素和分值对技术建议书部分计算出得分A；</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（2）按本章第2.2.4项（2）目规定的评审因素和分值对主要人员部分计算出得分B；</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（3）按本章第2.2.4项（4）目规定的评审因素和分值对其他部分计算出得分D。</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3.2.2 投标人的商务和技术得分分值计算保留小数点后两位，小数点后第三位“四舍五入”。</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 xml:space="preserve">3.2.3 投标人的商务和技术得分=A+B+D。 </w:t>
      </w:r>
    </w:p>
    <w:p>
      <w:pPr>
        <w:pStyle w:val="3"/>
        <w:spacing w:before="10" w:after="0" w:line="400" w:lineRule="exact"/>
        <w:rPr>
          <w:rFonts w:ascii="新宋体" w:hAnsi="新宋体" w:eastAsia="新宋体" w:cs="新宋体"/>
          <w:b w:val="0"/>
          <w:sz w:val="24"/>
          <w:szCs w:val="24"/>
        </w:rPr>
      </w:pPr>
      <w:bookmarkStart w:id="333" w:name="_Toc8144"/>
      <w:bookmarkStart w:id="334" w:name="_Toc509993890"/>
      <w:r>
        <w:rPr>
          <w:rFonts w:hint="eastAsia" w:ascii="新宋体" w:hAnsi="新宋体" w:eastAsia="新宋体" w:cs="新宋体"/>
          <w:b w:val="0"/>
          <w:sz w:val="24"/>
          <w:szCs w:val="24"/>
        </w:rPr>
        <w:t>3.3 第二个信封开标</w:t>
      </w:r>
      <w:bookmarkEnd w:id="333"/>
      <w:bookmarkEnd w:id="334"/>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第一个信封（商务及技术文件）评审结束后，招标人将按照第二章“投标人须知”第5.1款规定的时间和地点对通过投标文件第一个信封（商务及技术文件）评审的投标文件第二个信封（报价文件）进行开标。</w:t>
      </w:r>
    </w:p>
    <w:p>
      <w:pPr>
        <w:pStyle w:val="3"/>
        <w:spacing w:before="10" w:after="0" w:line="400" w:lineRule="exact"/>
        <w:rPr>
          <w:rFonts w:ascii="新宋体" w:hAnsi="新宋体" w:eastAsia="新宋体" w:cs="新宋体"/>
          <w:b w:val="0"/>
          <w:sz w:val="24"/>
          <w:szCs w:val="24"/>
        </w:rPr>
      </w:pPr>
      <w:bookmarkStart w:id="335" w:name="_Toc11743"/>
      <w:bookmarkStart w:id="336" w:name="_Toc509993891"/>
      <w:r>
        <w:rPr>
          <w:rFonts w:hint="eastAsia" w:ascii="新宋体" w:hAnsi="新宋体" w:eastAsia="新宋体" w:cs="新宋体"/>
          <w:b w:val="0"/>
          <w:sz w:val="24"/>
          <w:szCs w:val="24"/>
        </w:rPr>
        <w:t>3.4 第二个信封初步评审</w:t>
      </w:r>
      <w:bookmarkEnd w:id="335"/>
      <w:bookmarkEnd w:id="336"/>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3.4.1 评标委员会依据本章第2.1.1项、第2.1.3项规定的评审标准对投标文件第二个信封（报价文件）进行初步评审。有一项不符合评审标准的，评标委员会应否决其投标。</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3.4.2 投标报价有算术错误的，评标委员会按以下原则对投标报价进行修正，修正的价格经投标人书面确认后具有约束力。投标人不接受修正价格的，评标委员会应否决其投标。</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（1）投标文件中的大写金额与小写金额不一致的，以大写金额为准；</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（2）总价金额与依据单价计算出的结果不一致的，以单价金额为准修正总价，但单价金额小数点有明显错误的除外；</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（3）当单价与数量相乘不等于合价时，以单价计算为准，如果单价有明显的小数点位置差错，应以标出的合价为准，同时对单价予以修正；</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（4）当各子目的合价累计不等于总价时，应以各子目合价累计数为准，修正总价。</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3.4.3 修正后的最终投标报价若超过最高投标限价（如有），评标委员会应否决其投标。</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3.4.4 修正后的最终投标报价仅作为签订合同的一个依据，不参与评标价得分的计算。</w:t>
      </w:r>
    </w:p>
    <w:p>
      <w:pPr>
        <w:pStyle w:val="3"/>
        <w:spacing w:before="10" w:after="0" w:line="400" w:lineRule="exact"/>
        <w:rPr>
          <w:rFonts w:ascii="新宋体" w:hAnsi="新宋体" w:eastAsia="新宋体" w:cs="新宋体"/>
          <w:b w:val="0"/>
          <w:sz w:val="24"/>
          <w:szCs w:val="24"/>
        </w:rPr>
      </w:pPr>
      <w:bookmarkStart w:id="337" w:name="_Toc28923"/>
      <w:bookmarkStart w:id="338" w:name="_Toc509993892"/>
      <w:r>
        <w:rPr>
          <w:rFonts w:hint="eastAsia" w:ascii="新宋体" w:hAnsi="新宋体" w:eastAsia="新宋体" w:cs="新宋体"/>
          <w:b w:val="0"/>
          <w:sz w:val="24"/>
          <w:szCs w:val="24"/>
        </w:rPr>
        <w:t>3.5 第二个信封详细评审</w:t>
      </w:r>
      <w:bookmarkEnd w:id="337"/>
      <w:bookmarkEnd w:id="338"/>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3.5.1 评标委员会按本章第2.2.4项（3）目规定的评审因素和分值对评标价计算出得分C。评标价得分分值计算保留小数点后两位，小数点后第三位“四舍五入”。</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3.5.2 投标人综合得分=投标人的商务和技术得分+C。</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3.5.3 评标委员会发现投标人的报价明显低于其他投标报价，使得其投标报价可能低于其个别成本的，应要求该投标人作出书面说明并提供相应的证明材料。投标人不能合理说明或不能提供相应证明材料的，评标委员会应认定该投标人以低于成本报价竞标，并否决其投标。</w:t>
      </w:r>
    </w:p>
    <w:p>
      <w:pPr>
        <w:pStyle w:val="3"/>
        <w:spacing w:before="10" w:after="0" w:line="400" w:lineRule="exact"/>
        <w:rPr>
          <w:rFonts w:ascii="新宋体" w:hAnsi="新宋体" w:eastAsia="新宋体" w:cs="新宋体"/>
          <w:b w:val="0"/>
          <w:sz w:val="24"/>
          <w:szCs w:val="24"/>
        </w:rPr>
      </w:pPr>
      <w:bookmarkStart w:id="339" w:name="_Toc15357"/>
      <w:bookmarkStart w:id="340" w:name="_Toc509993893"/>
      <w:r>
        <w:rPr>
          <w:rFonts w:hint="eastAsia" w:ascii="新宋体" w:hAnsi="新宋体" w:eastAsia="新宋体" w:cs="新宋体"/>
          <w:b w:val="0"/>
          <w:sz w:val="24"/>
          <w:szCs w:val="24"/>
        </w:rPr>
        <w:t>3.6 投标文件相关信息的核查</w:t>
      </w:r>
      <w:bookmarkEnd w:id="339"/>
      <w:bookmarkEnd w:id="340"/>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3.6.1 在评标过程中，评标委员会应查询交通运输主管部门“公路建设市场信用信息管理系统”，对投标人的资质、业绩、主要人员资历和目前在岗情况、信用等级等信息进行核实。若投标文件载明的信息与交通运输主管部门“公路建设市场信用信息管理系统”发布的信息不符，使得投标人的资格条件不符合招标文件规定的，评标委员会应否决其投标（如有）。</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3.6.2 评标委员会应对在评标过程中发现的投标人与投标人之间、投标人与招标人之间存在的串通投标的情形进行评审和认定。投标人存在串通投标、弄虚作假、行贿等违法行为的，评标委员会应否决其投标。</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（1）有下列情形之一的，属于投标人相互串通投标：</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a.投标人之间协商投标报价等投标文件的实质性内容；</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b.投标人之间约定中标人；</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c.投标人之间约定部分投标人放弃投标或中标；</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d.属于同一集团、协会、商会等组织成员的投标人按照该组织要求协同投标；</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e.投标人之间为谋取中标或排斥特定投标人而采取的其他联合行动。</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（2）有下列情形之一的，视为投标人相互串通投标：</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a.不同投标人的投标文件由同一单位或个人编制；</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b.不同投标人委托同一单位或个人办理投标事宜；</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c.不同投标人的投标文件载明的项目管理成员为同一人；</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d.不同投标人的投标文件异常一致或投标报价呈规律性差异；</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e.不同投标人的投标文件相互混装；</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f.不同投标人的投标保证金从同一单位或个人的账户转出。</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（3）有下列情形之一的，属于招标人与投标人串通投标：</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a.招标人在开标前开启投标文件并将有关信息泄露给其他投标人;</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b.招标人直接或间接向投标人泄露标底、评标委员会成员等信息；</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c.招标人明示或暗示投标人压低或抬高投标报价；</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d.招标人授意投标人撤换、修改投标文件；</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e.招标人明示或暗示投标人为特定投标人中标提供方便；</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f.招标人与投标人为谋求特定投标人中标而采取的其他串通行为。</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（4）投标人有下列情形之一的，属于弄虚作假的行为：</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a.使用通过受让或租借等方式获取的资格、资质证书投标；</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b.使用伪造、变造的许可证件；</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c.提供虚假的业绩；</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d.提供虚假的项目负责人或主要技术人员简历、劳动关系证明；</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e.提供虚假的信用状况；</w:t>
      </w:r>
    </w:p>
    <w:p>
      <w:pPr>
        <w:spacing w:before="10" w:line="400" w:lineRule="exact"/>
        <w:ind w:firstLine="480" w:firstLineChars="200"/>
        <w:rPr>
          <w:rFonts w:ascii="新宋体" w:hAnsi="新宋体" w:eastAsia="新宋体" w:cs="新宋体"/>
          <w:sz w:val="24"/>
        </w:rPr>
      </w:pPr>
      <w:r>
        <w:rPr>
          <w:rFonts w:hint="eastAsia" w:ascii="新宋体" w:hAnsi="新宋体" w:eastAsia="新宋体" w:cs="新宋体"/>
          <w:sz w:val="24"/>
        </w:rPr>
        <w:t>f.其他弄虚作假的行为。</w:t>
      </w:r>
    </w:p>
    <w:p>
      <w:pPr>
        <w:pStyle w:val="3"/>
        <w:spacing w:before="10" w:after="0" w:line="400" w:lineRule="exact"/>
        <w:rPr>
          <w:rFonts w:ascii="新宋体" w:hAnsi="新宋体" w:eastAsia="新宋体" w:cs="新宋体"/>
          <w:b w:val="0"/>
          <w:sz w:val="24"/>
          <w:szCs w:val="24"/>
        </w:rPr>
      </w:pPr>
      <w:bookmarkStart w:id="341" w:name="_Toc509993894"/>
      <w:bookmarkStart w:id="342" w:name="_Toc18795"/>
      <w:r>
        <w:rPr>
          <w:rFonts w:hint="eastAsia" w:ascii="新宋体" w:hAnsi="新宋体" w:eastAsia="新宋体" w:cs="新宋体"/>
          <w:b w:val="0"/>
          <w:sz w:val="24"/>
          <w:szCs w:val="24"/>
        </w:rPr>
        <w:t>3.7 投标文件的澄清和说明</w:t>
      </w:r>
      <w:bookmarkEnd w:id="341"/>
      <w:bookmarkEnd w:id="342"/>
    </w:p>
    <w:p>
      <w:pPr>
        <w:spacing w:before="10" w:line="380" w:lineRule="exact"/>
        <w:ind w:firstLine="480" w:firstLineChars="200"/>
        <w:rPr>
          <w:rFonts w:ascii="新宋体" w:hAnsi="新宋体" w:eastAsia="新宋体" w:cs="新宋体"/>
          <w:sz w:val="24"/>
        </w:rPr>
      </w:pPr>
      <w:r>
        <w:rPr>
          <w:rFonts w:hint="eastAsia" w:ascii="新宋体" w:hAnsi="新宋体" w:eastAsia="新宋体" w:cs="新宋体"/>
          <w:sz w:val="24"/>
        </w:rPr>
        <w:t>3.7.1 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pPr>
        <w:spacing w:before="10" w:line="380" w:lineRule="exact"/>
        <w:ind w:firstLine="480" w:firstLineChars="200"/>
        <w:rPr>
          <w:rFonts w:ascii="新宋体" w:hAnsi="新宋体" w:eastAsia="新宋体" w:cs="新宋体"/>
          <w:sz w:val="24"/>
        </w:rPr>
      </w:pPr>
      <w:r>
        <w:rPr>
          <w:rFonts w:hint="eastAsia" w:ascii="新宋体" w:hAnsi="新宋体" w:eastAsia="新宋体" w:cs="新宋体"/>
          <w:sz w:val="24"/>
        </w:rPr>
        <w:t>3.7.2 澄清和说明不得超出投标文件的范围或改变投标文件的实质性内容（算术性错误的修正除外）。投标人的书面澄清、说明属于投标文件的组成部分。</w:t>
      </w:r>
    </w:p>
    <w:p>
      <w:pPr>
        <w:spacing w:before="10" w:line="380" w:lineRule="exact"/>
        <w:ind w:firstLine="480" w:firstLineChars="200"/>
        <w:rPr>
          <w:rFonts w:ascii="新宋体" w:hAnsi="新宋体" w:eastAsia="新宋体" w:cs="新宋体"/>
          <w:sz w:val="24"/>
        </w:rPr>
      </w:pPr>
      <w:r>
        <w:rPr>
          <w:rFonts w:hint="eastAsia" w:ascii="新宋体" w:hAnsi="新宋体" w:eastAsia="新宋体" w:cs="新宋体"/>
          <w:sz w:val="24"/>
        </w:rPr>
        <w:t>3.7.3 评标委员会不得暗示或诱导投标人作出澄清、说明，对投标人提交的澄清、说明有疑问的，可以要求投标人进一步澄清或说明，直至满足评标委员会的要求。</w:t>
      </w:r>
    </w:p>
    <w:p>
      <w:pPr>
        <w:spacing w:before="10" w:line="380" w:lineRule="exact"/>
        <w:ind w:firstLine="480" w:firstLineChars="200"/>
        <w:rPr>
          <w:rFonts w:ascii="新宋体" w:hAnsi="新宋体" w:eastAsia="新宋体" w:cs="新宋体"/>
          <w:sz w:val="24"/>
        </w:rPr>
      </w:pPr>
      <w:r>
        <w:rPr>
          <w:rFonts w:hint="eastAsia" w:ascii="新宋体" w:hAnsi="新宋体" w:eastAsia="新宋体" w:cs="新宋体"/>
          <w:sz w:val="24"/>
        </w:rPr>
        <w:t>3.7.4 凡超出招标文件规定的或给发包人带来未曾要求的利益的变化、偏差或其他因素在评标时不予考虑。</w:t>
      </w:r>
    </w:p>
    <w:p>
      <w:pPr>
        <w:pStyle w:val="3"/>
        <w:spacing w:before="10" w:after="0" w:line="380" w:lineRule="exact"/>
        <w:rPr>
          <w:rFonts w:ascii="新宋体" w:hAnsi="新宋体" w:eastAsia="新宋体" w:cs="新宋体"/>
          <w:b w:val="0"/>
          <w:sz w:val="24"/>
          <w:szCs w:val="24"/>
        </w:rPr>
      </w:pPr>
      <w:bookmarkStart w:id="343" w:name="_Toc4981"/>
      <w:bookmarkStart w:id="344" w:name="_Toc509993895"/>
      <w:bookmarkStart w:id="345" w:name="_Toc501257170"/>
      <w:r>
        <w:rPr>
          <w:rFonts w:hint="eastAsia" w:ascii="新宋体" w:hAnsi="新宋体" w:eastAsia="新宋体" w:cs="新宋体"/>
          <w:b w:val="0"/>
          <w:sz w:val="24"/>
          <w:szCs w:val="24"/>
        </w:rPr>
        <w:t>3.8 不得否决投标的情形</w:t>
      </w:r>
      <w:bookmarkEnd w:id="343"/>
      <w:bookmarkEnd w:id="344"/>
      <w:bookmarkEnd w:id="345"/>
    </w:p>
    <w:p>
      <w:pPr>
        <w:spacing w:before="10" w:line="380" w:lineRule="exact"/>
        <w:ind w:firstLine="480" w:firstLineChars="200"/>
        <w:rPr>
          <w:rFonts w:ascii="新宋体" w:hAnsi="新宋体" w:eastAsia="新宋体" w:cs="新宋体"/>
          <w:sz w:val="24"/>
        </w:rPr>
      </w:pPr>
      <w:r>
        <w:rPr>
          <w:rFonts w:hint="eastAsia" w:ascii="新宋体" w:hAnsi="新宋体" w:eastAsia="新宋体" w:cs="新宋体"/>
          <w:sz w:val="24"/>
        </w:rPr>
        <w:t>投标文件存在第二章“投标人须知”第1.12.3项所列情形的，均视为细微偏差，评标委员会不得否决投标人的投标，应按照第二章“投标人须知”第1.12.4项规定的原则处理。</w:t>
      </w:r>
    </w:p>
    <w:p>
      <w:pPr>
        <w:pStyle w:val="3"/>
        <w:spacing w:before="10" w:after="0" w:line="380" w:lineRule="exact"/>
        <w:rPr>
          <w:rFonts w:ascii="新宋体" w:hAnsi="新宋体" w:eastAsia="新宋体" w:cs="新宋体"/>
          <w:b w:val="0"/>
          <w:sz w:val="24"/>
          <w:szCs w:val="24"/>
        </w:rPr>
      </w:pPr>
      <w:bookmarkStart w:id="346" w:name="_Toc509993896"/>
      <w:bookmarkStart w:id="347" w:name="_Toc25927"/>
      <w:r>
        <w:rPr>
          <w:rFonts w:hint="eastAsia" w:ascii="新宋体" w:hAnsi="新宋体" w:eastAsia="新宋体" w:cs="新宋体"/>
          <w:b w:val="0"/>
          <w:sz w:val="24"/>
          <w:szCs w:val="24"/>
        </w:rPr>
        <w:t>3.9 评标结果</w:t>
      </w:r>
      <w:bookmarkEnd w:id="346"/>
      <w:bookmarkEnd w:id="347"/>
    </w:p>
    <w:p>
      <w:pPr>
        <w:spacing w:before="10" w:line="380" w:lineRule="exact"/>
        <w:ind w:firstLine="480" w:firstLineChars="200"/>
        <w:rPr>
          <w:rFonts w:ascii="新宋体" w:hAnsi="新宋体" w:eastAsia="新宋体" w:cs="新宋体"/>
          <w:sz w:val="24"/>
        </w:rPr>
      </w:pPr>
      <w:r>
        <w:rPr>
          <w:rFonts w:hint="eastAsia" w:ascii="新宋体" w:hAnsi="新宋体" w:eastAsia="新宋体" w:cs="新宋体"/>
          <w:sz w:val="24"/>
        </w:rPr>
        <w:t>3.9.1 除第二章“投标人须知”前附表授权直接确定中标人外，评标委员会按照得分由高到低的顺序推荐中标候选人，并标明排序。</w:t>
      </w:r>
    </w:p>
    <w:p>
      <w:pPr>
        <w:spacing w:before="10" w:line="380" w:lineRule="exact"/>
        <w:ind w:firstLine="480" w:firstLineChars="200"/>
        <w:rPr>
          <w:rFonts w:hint="eastAsia" w:ascii="新宋体" w:hAnsi="新宋体" w:eastAsia="新宋体" w:cs="新宋体"/>
          <w:sz w:val="24"/>
        </w:rPr>
      </w:pPr>
      <w:r>
        <w:rPr>
          <w:rFonts w:hint="eastAsia" w:ascii="新宋体" w:hAnsi="新宋体" w:eastAsia="新宋体" w:cs="新宋体"/>
          <w:sz w:val="24"/>
        </w:rPr>
        <w:t>3.9.2 评标委员会完成评标后，应向招标人提交书面评标报告。</w:t>
      </w:r>
      <w:bookmarkEnd w:id="312"/>
    </w:p>
    <w:p>
      <w:pPr>
        <w:pStyle w:val="17"/>
        <w:keepNext w:val="0"/>
        <w:keepLines w:val="0"/>
        <w:pageBreakBefore w:val="0"/>
        <w:widowControl/>
        <w:numPr>
          <w:ilvl w:val="0"/>
          <w:numId w:val="2"/>
        </w:numPr>
        <w:kinsoku w:val="0"/>
        <w:wordWrap/>
        <w:overflowPunct/>
        <w:topLinePunct w:val="0"/>
        <w:autoSpaceDE w:val="0"/>
        <w:autoSpaceDN w:val="0"/>
        <w:bidi w:val="0"/>
        <w:adjustRightInd w:val="0"/>
        <w:snapToGrid w:val="0"/>
        <w:spacing w:before="0" w:beforeLines="50" w:after="0" w:afterLines="50" w:line="520" w:lineRule="exact"/>
        <w:ind w:left="0" w:leftChars="0" w:firstLine="0" w:firstLineChars="0"/>
        <w:textAlignment w:val="baseline"/>
        <w:rPr>
          <w:rFonts w:hint="eastAsia" w:ascii="新宋体" w:hAnsi="新宋体" w:eastAsia="新宋体" w:cs="新宋体"/>
          <w:b/>
          <w:bCs/>
          <w:snapToGrid w:val="0"/>
          <w:color w:val="000000"/>
          <w:sz w:val="24"/>
          <w:szCs w:val="21"/>
          <w:lang w:val="en-US" w:eastAsia="zh-CN" w:bidi="ar-SA"/>
        </w:rPr>
      </w:pPr>
      <w:r>
        <w:rPr>
          <w:rFonts w:hint="eastAsia" w:ascii="新宋体" w:hAnsi="新宋体" w:eastAsia="新宋体" w:cs="新宋体"/>
          <w:b/>
          <w:bCs/>
          <w:snapToGrid w:val="0"/>
          <w:color w:val="000000"/>
          <w:sz w:val="24"/>
          <w:szCs w:val="21"/>
          <w:lang w:val="en-US" w:eastAsia="zh-CN" w:bidi="ar-SA"/>
        </w:rPr>
        <w:t>联系方式</w:t>
      </w:r>
    </w:p>
    <w:p>
      <w:pPr>
        <w:pageBreakBefore w:val="0"/>
        <w:widowControl/>
        <w:kinsoku w:val="0"/>
        <w:wordWrap/>
        <w:overflowPunct/>
        <w:topLinePunct w:val="0"/>
        <w:autoSpaceDE w:val="0"/>
        <w:autoSpaceDN w:val="0"/>
        <w:bidi w:val="0"/>
        <w:adjustRightInd w:val="0"/>
        <w:snapToGrid w:val="0"/>
        <w:spacing w:line="520" w:lineRule="exact"/>
        <w:ind w:firstLine="480" w:firstLineChars="200"/>
        <w:textAlignment w:val="baseline"/>
        <w:rPr>
          <w:rFonts w:hint="eastAsia" w:ascii="新宋体" w:hAnsi="新宋体" w:eastAsia="新宋体" w:cs="新宋体"/>
          <w:sz w:val="24"/>
          <w:szCs w:val="24"/>
        </w:rPr>
      </w:pPr>
      <w:r>
        <w:rPr>
          <w:rFonts w:hint="eastAsia" w:ascii="新宋体" w:hAnsi="新宋体" w:eastAsia="新宋体" w:cs="新宋体"/>
          <w:sz w:val="24"/>
          <w:szCs w:val="24"/>
        </w:rPr>
        <w:t>招 标 人：</w:t>
      </w:r>
      <w:r>
        <w:rPr>
          <w:rFonts w:hint="eastAsia" w:ascii="新宋体" w:hAnsi="新宋体" w:eastAsia="新宋体" w:cs="新宋体"/>
          <w:sz w:val="24"/>
          <w:szCs w:val="24"/>
          <w:lang w:eastAsia="zh-CN"/>
        </w:rPr>
        <w:t>安康市公路局</w:t>
      </w:r>
      <w:r>
        <w:rPr>
          <w:rFonts w:hint="eastAsia" w:ascii="新宋体" w:hAnsi="新宋体" w:eastAsia="新宋体" w:cs="新宋体"/>
          <w:sz w:val="24"/>
          <w:szCs w:val="24"/>
        </w:rPr>
        <w:t xml:space="preserve"> </w:t>
      </w:r>
    </w:p>
    <w:p>
      <w:pPr>
        <w:pageBreakBefore w:val="0"/>
        <w:widowControl/>
        <w:kinsoku w:val="0"/>
        <w:wordWrap/>
        <w:overflowPunct/>
        <w:topLinePunct w:val="0"/>
        <w:autoSpaceDE w:val="0"/>
        <w:autoSpaceDN w:val="0"/>
        <w:bidi w:val="0"/>
        <w:adjustRightInd w:val="0"/>
        <w:snapToGrid w:val="0"/>
        <w:spacing w:line="520" w:lineRule="exact"/>
        <w:ind w:firstLine="480" w:firstLineChars="200"/>
        <w:textAlignment w:val="baseline"/>
        <w:rPr>
          <w:rFonts w:hint="eastAsia" w:ascii="新宋体" w:hAnsi="新宋体" w:eastAsia="新宋体" w:cs="新宋体"/>
          <w:sz w:val="24"/>
          <w:szCs w:val="24"/>
        </w:rPr>
      </w:pPr>
      <w:r>
        <w:rPr>
          <w:rFonts w:hint="eastAsia" w:ascii="新宋体" w:hAnsi="新宋体" w:eastAsia="新宋体" w:cs="新宋体"/>
          <w:sz w:val="24"/>
          <w:szCs w:val="24"/>
        </w:rPr>
        <w:t>地  址：安康市汉滨区巴山中路101号</w:t>
      </w:r>
    </w:p>
    <w:p>
      <w:pPr>
        <w:pageBreakBefore w:val="0"/>
        <w:widowControl/>
        <w:kinsoku w:val="0"/>
        <w:wordWrap/>
        <w:overflowPunct/>
        <w:topLinePunct w:val="0"/>
        <w:autoSpaceDE w:val="0"/>
        <w:autoSpaceDN w:val="0"/>
        <w:bidi w:val="0"/>
        <w:adjustRightInd w:val="0"/>
        <w:snapToGrid w:val="0"/>
        <w:spacing w:line="520" w:lineRule="exact"/>
        <w:ind w:firstLine="480" w:firstLineChars="200"/>
        <w:textAlignment w:val="baseline"/>
        <w:rPr>
          <w:rFonts w:hint="eastAsia" w:ascii="新宋体" w:hAnsi="新宋体" w:eastAsia="新宋体" w:cs="新宋体"/>
          <w:sz w:val="24"/>
          <w:szCs w:val="24"/>
          <w:lang w:eastAsia="zh-CN"/>
        </w:rPr>
      </w:pPr>
      <w:r>
        <w:rPr>
          <w:rFonts w:hint="eastAsia" w:ascii="新宋体" w:hAnsi="新宋体" w:eastAsia="新宋体" w:cs="新宋体"/>
          <w:sz w:val="24"/>
          <w:szCs w:val="24"/>
        </w:rPr>
        <w:t>联 系 人：</w:t>
      </w:r>
      <w:r>
        <w:rPr>
          <w:rFonts w:hint="eastAsia" w:ascii="新宋体" w:hAnsi="新宋体" w:eastAsia="新宋体" w:cs="新宋体"/>
          <w:sz w:val="24"/>
          <w:szCs w:val="24"/>
          <w:lang w:eastAsia="zh-CN"/>
        </w:rPr>
        <w:t>陈先生</w:t>
      </w:r>
    </w:p>
    <w:p>
      <w:pPr>
        <w:pageBreakBefore w:val="0"/>
        <w:widowControl/>
        <w:kinsoku w:val="0"/>
        <w:wordWrap/>
        <w:overflowPunct/>
        <w:topLinePunct w:val="0"/>
        <w:autoSpaceDE w:val="0"/>
        <w:autoSpaceDN w:val="0"/>
        <w:bidi w:val="0"/>
        <w:adjustRightInd w:val="0"/>
        <w:snapToGrid w:val="0"/>
        <w:spacing w:line="520" w:lineRule="exact"/>
        <w:ind w:firstLine="480" w:firstLineChars="200"/>
        <w:textAlignment w:val="baseline"/>
        <w:rPr>
          <w:sz w:val="24"/>
          <w:szCs w:val="24"/>
        </w:rPr>
      </w:pPr>
      <w:r>
        <w:rPr>
          <w:rFonts w:hint="eastAsia" w:ascii="新宋体" w:hAnsi="新宋体" w:eastAsia="新宋体" w:cs="新宋体"/>
          <w:sz w:val="24"/>
          <w:szCs w:val="24"/>
        </w:rPr>
        <w:t xml:space="preserve">电   话：0915-3339000 </w:t>
      </w:r>
    </w:p>
    <w:sectPr>
      <w:footerReference r:id="rId4" w:type="default"/>
      <w:pgSz w:w="11906" w:h="16838"/>
      <w:pgMar w:top="1327" w:right="1689" w:bottom="1327" w:left="168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宋体"/>
    <w:panose1 w:val="02020603050405020304"/>
    <w:charset w:val="86"/>
    <w:family w:val="auto"/>
    <w:pitch w:val="default"/>
    <w:sig w:usb0="00000000" w:usb1="00000000"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pperplate Gothic Bold">
    <w:altName w:val="Courier New"/>
    <w:panose1 w:val="00000000000000000000"/>
    <w:charset w:val="00"/>
    <w:family w:val="swiss"/>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monospace">
    <w:altName w:val="hakuyoxingshu7000"/>
    <w:panose1 w:val="00000000000000000000"/>
    <w:charset w:val="00"/>
    <w:family w:val="auto"/>
    <w:pitch w:val="default"/>
    <w:sig w:usb0="00000000" w:usb1="00000000" w:usb2="00000000" w:usb3="00000000" w:csb0="00040001" w:csb1="00000000"/>
  </w:font>
  <w:font w:name="hakuyoxingshu7000">
    <w:panose1 w:val="02000600000000000000"/>
    <w:charset w:val="86"/>
    <w:family w:val="auto"/>
    <w:pitch w:val="default"/>
    <w:sig w:usb0="FFFFFFFF" w:usb1="E9FFFFFF" w:usb2="0000003F" w:usb3="00000000" w:csb0="603F00FF" w:csb1="FFFF0000"/>
  </w:font>
  <w:font w:name="Consolas">
    <w:panose1 w:val="020B0609020204030204"/>
    <w:charset w:val="00"/>
    <w:family w:val="modern"/>
    <w:pitch w:val="default"/>
    <w:sig w:usb0="E10002FF" w:usb1="4000FCFF" w:usb2="00000009" w:usb3="00000000" w:csb0="6000019F" w:csb1="DFD70000"/>
  </w:font>
  <w:font w:name="仿宋">
    <w:altName w:val="微软雅黑"/>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 w:name="新宋体">
    <w:panose1 w:val="02010609030101010101"/>
    <w:charset w:val="86"/>
    <w:family w:val="auto"/>
    <w:pitch w:val="default"/>
    <w:sig w:usb0="00000003" w:usb1="080E0000" w:usb2="00000000"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rPr>
        <w:rFonts w:ascii="仿宋_GB23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17"/>
        <w:spacing w:line="320" w:lineRule="atLeast"/>
        <w:ind w:left="180" w:hanging="180" w:hangingChars="100"/>
        <w:rPr>
          <w:rFonts w:hint="eastAsia" w:ascii="宋体" w:hAnsi="宋体" w:eastAsia="宋体" w:cs="宋体"/>
        </w:rPr>
      </w:pPr>
      <w:r>
        <w:rPr>
          <w:rStyle w:val="34"/>
          <w:rFonts w:hint="eastAsia" w:ascii="宋体" w:hAnsi="宋体" w:eastAsia="宋体" w:cs="宋体"/>
        </w:rPr>
        <w:footnoteRef/>
      </w:r>
      <w:r>
        <w:rPr>
          <w:rFonts w:hint="eastAsia" w:ascii="宋体" w:hAnsi="宋体" w:eastAsia="宋体" w:cs="宋体"/>
        </w:rPr>
        <w:t xml:space="preserve"> 本项规定仅适用于根据《关于发布公路工程从业企业资质名录的通知》（厅公路字〔2011〕114号）要求，招标人应通过名录对投标人资质条件进行审核的公路工程设计企业。</w:t>
      </w:r>
    </w:p>
  </w:footnote>
  <w:footnote w:id="1">
    <w:p>
      <w:pPr>
        <w:pStyle w:val="17"/>
        <w:spacing w:line="340" w:lineRule="atLeast"/>
        <w:ind w:right="-134" w:rightChars="-42" w:firstLine="0"/>
        <w:rPr>
          <w:rFonts w:hint="eastAsia" w:ascii="宋体" w:hAnsi="宋体" w:eastAsia="宋体" w:cs="宋体"/>
          <w:szCs w:val="18"/>
        </w:rPr>
      </w:pPr>
      <w:r>
        <w:rPr>
          <w:rStyle w:val="34"/>
          <w:rFonts w:hint="eastAsia" w:ascii="宋体" w:hAnsi="宋体" w:eastAsia="宋体" w:cs="宋体"/>
          <w:szCs w:val="18"/>
        </w:rPr>
        <w:footnoteRef/>
      </w:r>
      <w:r>
        <w:rPr>
          <w:rFonts w:hint="eastAsia" w:ascii="宋体" w:hAnsi="宋体" w:eastAsia="宋体" w:cs="宋体"/>
          <w:szCs w:val="18"/>
        </w:rPr>
        <w:t xml:space="preserve"> 投标保证金不得超过招标标段估算价的2%，招标人应据此测算出具体金额。</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547F30"/>
    <w:multiLevelType w:val="singleLevel"/>
    <w:tmpl w:val="B3547F30"/>
    <w:lvl w:ilvl="0" w:tentative="0">
      <w:start w:val="2"/>
      <w:numFmt w:val="chineseCounting"/>
      <w:suff w:val="nothing"/>
      <w:lvlText w:val="第%1章、"/>
      <w:lvlJc w:val="left"/>
      <w:rPr>
        <w:rFonts w:hint="eastAsia"/>
      </w:rPr>
    </w:lvl>
  </w:abstractNum>
  <w:abstractNum w:abstractNumId="1">
    <w:nsid w:val="ECBEEF4D"/>
    <w:multiLevelType w:val="singleLevel"/>
    <w:tmpl w:val="ECBEEF4D"/>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footnotePr>
    <w:footnote w:id="4"/>
    <w:footnote w:id="5"/>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Tk1YWU5NDczOWE5YzI2ZTVhZWYwZmYzM2E2ODA4NjcifQ=="/>
  </w:docVars>
  <w:rsids>
    <w:rsidRoot w:val="00172A27"/>
    <w:rsid w:val="000463F6"/>
    <w:rsid w:val="00067744"/>
    <w:rsid w:val="000B5120"/>
    <w:rsid w:val="000B73DA"/>
    <w:rsid w:val="000F7794"/>
    <w:rsid w:val="0010457E"/>
    <w:rsid w:val="0012559F"/>
    <w:rsid w:val="001658A0"/>
    <w:rsid w:val="00172A27"/>
    <w:rsid w:val="00176441"/>
    <w:rsid w:val="00181C6D"/>
    <w:rsid w:val="00183C7F"/>
    <w:rsid w:val="001A6426"/>
    <w:rsid w:val="001A66E2"/>
    <w:rsid w:val="001B183D"/>
    <w:rsid w:val="001B51DD"/>
    <w:rsid w:val="001C6A58"/>
    <w:rsid w:val="001F6D2A"/>
    <w:rsid w:val="00205762"/>
    <w:rsid w:val="00206461"/>
    <w:rsid w:val="00224B9F"/>
    <w:rsid w:val="00246C88"/>
    <w:rsid w:val="0025017D"/>
    <w:rsid w:val="002526C2"/>
    <w:rsid w:val="00261D23"/>
    <w:rsid w:val="00266F5D"/>
    <w:rsid w:val="00267902"/>
    <w:rsid w:val="0027123C"/>
    <w:rsid w:val="00274D01"/>
    <w:rsid w:val="002A4310"/>
    <w:rsid w:val="002A656A"/>
    <w:rsid w:val="002B51DA"/>
    <w:rsid w:val="002D36E9"/>
    <w:rsid w:val="00300183"/>
    <w:rsid w:val="003166D7"/>
    <w:rsid w:val="00320BB4"/>
    <w:rsid w:val="00320BE2"/>
    <w:rsid w:val="00347440"/>
    <w:rsid w:val="00362B07"/>
    <w:rsid w:val="00376D93"/>
    <w:rsid w:val="003811D9"/>
    <w:rsid w:val="00383040"/>
    <w:rsid w:val="00390AAB"/>
    <w:rsid w:val="003927B1"/>
    <w:rsid w:val="00393BB6"/>
    <w:rsid w:val="00394229"/>
    <w:rsid w:val="003A38D4"/>
    <w:rsid w:val="003B0AA2"/>
    <w:rsid w:val="003B7885"/>
    <w:rsid w:val="003D6881"/>
    <w:rsid w:val="003E4F1F"/>
    <w:rsid w:val="003E624E"/>
    <w:rsid w:val="00417216"/>
    <w:rsid w:val="00433C14"/>
    <w:rsid w:val="00446279"/>
    <w:rsid w:val="00471A80"/>
    <w:rsid w:val="00497BAB"/>
    <w:rsid w:val="004C18CF"/>
    <w:rsid w:val="004E4B0F"/>
    <w:rsid w:val="004F05F9"/>
    <w:rsid w:val="00501893"/>
    <w:rsid w:val="00503198"/>
    <w:rsid w:val="00562BCC"/>
    <w:rsid w:val="00586AF9"/>
    <w:rsid w:val="005A5A0D"/>
    <w:rsid w:val="005A5BE5"/>
    <w:rsid w:val="005C0BBA"/>
    <w:rsid w:val="005C53DB"/>
    <w:rsid w:val="006174CB"/>
    <w:rsid w:val="00642467"/>
    <w:rsid w:val="00642608"/>
    <w:rsid w:val="006723B1"/>
    <w:rsid w:val="00684678"/>
    <w:rsid w:val="00691012"/>
    <w:rsid w:val="00693896"/>
    <w:rsid w:val="006A7339"/>
    <w:rsid w:val="006C54BD"/>
    <w:rsid w:val="00710987"/>
    <w:rsid w:val="007155DA"/>
    <w:rsid w:val="00785ED9"/>
    <w:rsid w:val="007A35F0"/>
    <w:rsid w:val="007C2AB5"/>
    <w:rsid w:val="007F0701"/>
    <w:rsid w:val="008020C4"/>
    <w:rsid w:val="00802898"/>
    <w:rsid w:val="008115AD"/>
    <w:rsid w:val="00813045"/>
    <w:rsid w:val="00825106"/>
    <w:rsid w:val="00842A13"/>
    <w:rsid w:val="00846B76"/>
    <w:rsid w:val="00877607"/>
    <w:rsid w:val="0089083E"/>
    <w:rsid w:val="008C7A20"/>
    <w:rsid w:val="008D0B23"/>
    <w:rsid w:val="008E75A6"/>
    <w:rsid w:val="00911F78"/>
    <w:rsid w:val="009232AD"/>
    <w:rsid w:val="009354F5"/>
    <w:rsid w:val="00942C5D"/>
    <w:rsid w:val="009609AD"/>
    <w:rsid w:val="00971237"/>
    <w:rsid w:val="009721BF"/>
    <w:rsid w:val="00972903"/>
    <w:rsid w:val="009B7114"/>
    <w:rsid w:val="00A353FF"/>
    <w:rsid w:val="00A61730"/>
    <w:rsid w:val="00A63528"/>
    <w:rsid w:val="00A86CEF"/>
    <w:rsid w:val="00AA710A"/>
    <w:rsid w:val="00AB2D94"/>
    <w:rsid w:val="00AF1328"/>
    <w:rsid w:val="00AF3A2E"/>
    <w:rsid w:val="00B12949"/>
    <w:rsid w:val="00B40B37"/>
    <w:rsid w:val="00B45F7C"/>
    <w:rsid w:val="00B569E9"/>
    <w:rsid w:val="00B70725"/>
    <w:rsid w:val="00B72A2F"/>
    <w:rsid w:val="00B91F0D"/>
    <w:rsid w:val="00BA13BC"/>
    <w:rsid w:val="00BA16D5"/>
    <w:rsid w:val="00BA77A4"/>
    <w:rsid w:val="00BB5233"/>
    <w:rsid w:val="00BC0B7B"/>
    <w:rsid w:val="00BF19D5"/>
    <w:rsid w:val="00C23DF7"/>
    <w:rsid w:val="00C65187"/>
    <w:rsid w:val="00C714B7"/>
    <w:rsid w:val="00C821B3"/>
    <w:rsid w:val="00C8351B"/>
    <w:rsid w:val="00C85C36"/>
    <w:rsid w:val="00C93943"/>
    <w:rsid w:val="00C952B3"/>
    <w:rsid w:val="00CC1CAF"/>
    <w:rsid w:val="00CF52C6"/>
    <w:rsid w:val="00D073A7"/>
    <w:rsid w:val="00D1431C"/>
    <w:rsid w:val="00D8357E"/>
    <w:rsid w:val="00D84982"/>
    <w:rsid w:val="00DF47F8"/>
    <w:rsid w:val="00E102BE"/>
    <w:rsid w:val="00E13486"/>
    <w:rsid w:val="00E353DA"/>
    <w:rsid w:val="00E41398"/>
    <w:rsid w:val="00E41910"/>
    <w:rsid w:val="00E752EB"/>
    <w:rsid w:val="00E94B76"/>
    <w:rsid w:val="00EA2D1F"/>
    <w:rsid w:val="00EA4FC7"/>
    <w:rsid w:val="00EC584F"/>
    <w:rsid w:val="00EE5088"/>
    <w:rsid w:val="00EE5745"/>
    <w:rsid w:val="00F40413"/>
    <w:rsid w:val="00FB2A35"/>
    <w:rsid w:val="00FD21A7"/>
    <w:rsid w:val="00FE1143"/>
    <w:rsid w:val="01046A7B"/>
    <w:rsid w:val="01070D3A"/>
    <w:rsid w:val="010E77C4"/>
    <w:rsid w:val="011003B9"/>
    <w:rsid w:val="01103106"/>
    <w:rsid w:val="01107811"/>
    <w:rsid w:val="011106AF"/>
    <w:rsid w:val="01115CD3"/>
    <w:rsid w:val="01154EDD"/>
    <w:rsid w:val="011F02F9"/>
    <w:rsid w:val="011F5504"/>
    <w:rsid w:val="01356916"/>
    <w:rsid w:val="013B09FE"/>
    <w:rsid w:val="013B11B1"/>
    <w:rsid w:val="013E67BC"/>
    <w:rsid w:val="014456BD"/>
    <w:rsid w:val="014F48A6"/>
    <w:rsid w:val="015F0F08"/>
    <w:rsid w:val="01603A1D"/>
    <w:rsid w:val="016B39BD"/>
    <w:rsid w:val="017531DF"/>
    <w:rsid w:val="01776A6B"/>
    <w:rsid w:val="017821ED"/>
    <w:rsid w:val="017B4C3F"/>
    <w:rsid w:val="017E30CF"/>
    <w:rsid w:val="017F4504"/>
    <w:rsid w:val="017F7A3E"/>
    <w:rsid w:val="01813D87"/>
    <w:rsid w:val="01861F8C"/>
    <w:rsid w:val="01914481"/>
    <w:rsid w:val="01955C7F"/>
    <w:rsid w:val="019D38B5"/>
    <w:rsid w:val="01A13899"/>
    <w:rsid w:val="01A2287F"/>
    <w:rsid w:val="01A96E2B"/>
    <w:rsid w:val="01AD5DF2"/>
    <w:rsid w:val="01AD6B1B"/>
    <w:rsid w:val="01B31E6B"/>
    <w:rsid w:val="01B368C8"/>
    <w:rsid w:val="01B70885"/>
    <w:rsid w:val="01C3621A"/>
    <w:rsid w:val="01D225A1"/>
    <w:rsid w:val="01D50EAD"/>
    <w:rsid w:val="01D95D40"/>
    <w:rsid w:val="01DD5FFA"/>
    <w:rsid w:val="01E27DA7"/>
    <w:rsid w:val="01E61B1B"/>
    <w:rsid w:val="01E625A7"/>
    <w:rsid w:val="01E62824"/>
    <w:rsid w:val="01EF1A37"/>
    <w:rsid w:val="01F13668"/>
    <w:rsid w:val="01F43740"/>
    <w:rsid w:val="01F6738B"/>
    <w:rsid w:val="01F81447"/>
    <w:rsid w:val="01F828CC"/>
    <w:rsid w:val="02011444"/>
    <w:rsid w:val="02101059"/>
    <w:rsid w:val="02133A1D"/>
    <w:rsid w:val="02155CCC"/>
    <w:rsid w:val="02176806"/>
    <w:rsid w:val="02260488"/>
    <w:rsid w:val="022A6CA1"/>
    <w:rsid w:val="022B09B6"/>
    <w:rsid w:val="02374B06"/>
    <w:rsid w:val="02392021"/>
    <w:rsid w:val="023A1F25"/>
    <w:rsid w:val="023E1D7E"/>
    <w:rsid w:val="023F24BD"/>
    <w:rsid w:val="0242303F"/>
    <w:rsid w:val="0246284B"/>
    <w:rsid w:val="02465928"/>
    <w:rsid w:val="024F59B4"/>
    <w:rsid w:val="02524895"/>
    <w:rsid w:val="02593BA6"/>
    <w:rsid w:val="025F14B7"/>
    <w:rsid w:val="02602478"/>
    <w:rsid w:val="02653FF9"/>
    <w:rsid w:val="026E0A28"/>
    <w:rsid w:val="026E12B8"/>
    <w:rsid w:val="026F018C"/>
    <w:rsid w:val="026F3AA4"/>
    <w:rsid w:val="02836E2C"/>
    <w:rsid w:val="028830D7"/>
    <w:rsid w:val="028A7007"/>
    <w:rsid w:val="028B4BC6"/>
    <w:rsid w:val="0291636C"/>
    <w:rsid w:val="02932273"/>
    <w:rsid w:val="029341C2"/>
    <w:rsid w:val="029504FC"/>
    <w:rsid w:val="029903C1"/>
    <w:rsid w:val="029B07B8"/>
    <w:rsid w:val="029B2FDC"/>
    <w:rsid w:val="02A41347"/>
    <w:rsid w:val="02A835EB"/>
    <w:rsid w:val="02AB7439"/>
    <w:rsid w:val="02AE5AC9"/>
    <w:rsid w:val="02B11B07"/>
    <w:rsid w:val="02B83EF4"/>
    <w:rsid w:val="02BA4D88"/>
    <w:rsid w:val="02CC020F"/>
    <w:rsid w:val="02D43F99"/>
    <w:rsid w:val="02D61131"/>
    <w:rsid w:val="02DE46D9"/>
    <w:rsid w:val="02DE49B2"/>
    <w:rsid w:val="02DE53BE"/>
    <w:rsid w:val="02E019EC"/>
    <w:rsid w:val="02E17929"/>
    <w:rsid w:val="02EE1D5F"/>
    <w:rsid w:val="02FB253A"/>
    <w:rsid w:val="03063422"/>
    <w:rsid w:val="030A7E73"/>
    <w:rsid w:val="030C0715"/>
    <w:rsid w:val="030D083F"/>
    <w:rsid w:val="03112F76"/>
    <w:rsid w:val="03197AF5"/>
    <w:rsid w:val="031E39B6"/>
    <w:rsid w:val="03206758"/>
    <w:rsid w:val="03255C97"/>
    <w:rsid w:val="03262536"/>
    <w:rsid w:val="03275B59"/>
    <w:rsid w:val="032A0B86"/>
    <w:rsid w:val="032C4917"/>
    <w:rsid w:val="033D08B3"/>
    <w:rsid w:val="03416BD6"/>
    <w:rsid w:val="034670FD"/>
    <w:rsid w:val="03477316"/>
    <w:rsid w:val="03507EDD"/>
    <w:rsid w:val="035F07F2"/>
    <w:rsid w:val="0369419B"/>
    <w:rsid w:val="0371237E"/>
    <w:rsid w:val="03722E98"/>
    <w:rsid w:val="037545C2"/>
    <w:rsid w:val="037801B3"/>
    <w:rsid w:val="037A218A"/>
    <w:rsid w:val="037E75D7"/>
    <w:rsid w:val="037F25FC"/>
    <w:rsid w:val="03863A76"/>
    <w:rsid w:val="0390402C"/>
    <w:rsid w:val="039211E8"/>
    <w:rsid w:val="03935388"/>
    <w:rsid w:val="0398470B"/>
    <w:rsid w:val="039C0E9B"/>
    <w:rsid w:val="039E61CC"/>
    <w:rsid w:val="039F60D8"/>
    <w:rsid w:val="03AF605D"/>
    <w:rsid w:val="03B46938"/>
    <w:rsid w:val="03B67710"/>
    <w:rsid w:val="03B82478"/>
    <w:rsid w:val="03B83CCB"/>
    <w:rsid w:val="03B84CAB"/>
    <w:rsid w:val="03B91E9A"/>
    <w:rsid w:val="03B96EA9"/>
    <w:rsid w:val="03C314E4"/>
    <w:rsid w:val="03C3228F"/>
    <w:rsid w:val="03C81C09"/>
    <w:rsid w:val="03C90D07"/>
    <w:rsid w:val="03D637FF"/>
    <w:rsid w:val="03DD321C"/>
    <w:rsid w:val="03DE2F30"/>
    <w:rsid w:val="03E017AA"/>
    <w:rsid w:val="03F8684F"/>
    <w:rsid w:val="03FA1A39"/>
    <w:rsid w:val="03FA5580"/>
    <w:rsid w:val="0400092C"/>
    <w:rsid w:val="040245A9"/>
    <w:rsid w:val="040E5804"/>
    <w:rsid w:val="041A4FFB"/>
    <w:rsid w:val="041D64C4"/>
    <w:rsid w:val="04271F3F"/>
    <w:rsid w:val="04364180"/>
    <w:rsid w:val="04387F63"/>
    <w:rsid w:val="043D6707"/>
    <w:rsid w:val="04410F0E"/>
    <w:rsid w:val="0443721B"/>
    <w:rsid w:val="0444104B"/>
    <w:rsid w:val="044713D2"/>
    <w:rsid w:val="04480D4B"/>
    <w:rsid w:val="0454791D"/>
    <w:rsid w:val="04575CCB"/>
    <w:rsid w:val="045A1B0C"/>
    <w:rsid w:val="045A326F"/>
    <w:rsid w:val="045F061E"/>
    <w:rsid w:val="045F7637"/>
    <w:rsid w:val="046217C3"/>
    <w:rsid w:val="04626935"/>
    <w:rsid w:val="0473096C"/>
    <w:rsid w:val="047C133D"/>
    <w:rsid w:val="048767CF"/>
    <w:rsid w:val="048941DC"/>
    <w:rsid w:val="04945913"/>
    <w:rsid w:val="049E65C4"/>
    <w:rsid w:val="04A0494A"/>
    <w:rsid w:val="04B01DBF"/>
    <w:rsid w:val="04B170C5"/>
    <w:rsid w:val="04B243BB"/>
    <w:rsid w:val="04BF1CB5"/>
    <w:rsid w:val="04C12389"/>
    <w:rsid w:val="04C2515D"/>
    <w:rsid w:val="04C40C68"/>
    <w:rsid w:val="04C63DDB"/>
    <w:rsid w:val="04C67ACE"/>
    <w:rsid w:val="04D87CAB"/>
    <w:rsid w:val="04DA4BDE"/>
    <w:rsid w:val="04ED7323"/>
    <w:rsid w:val="04F15243"/>
    <w:rsid w:val="04F33A5A"/>
    <w:rsid w:val="04F84C65"/>
    <w:rsid w:val="04FC69D4"/>
    <w:rsid w:val="04FD1ABF"/>
    <w:rsid w:val="05026160"/>
    <w:rsid w:val="0504633B"/>
    <w:rsid w:val="05066D0E"/>
    <w:rsid w:val="050F2285"/>
    <w:rsid w:val="05157166"/>
    <w:rsid w:val="05224A98"/>
    <w:rsid w:val="052349CD"/>
    <w:rsid w:val="052942B7"/>
    <w:rsid w:val="052B0C33"/>
    <w:rsid w:val="052E3BB8"/>
    <w:rsid w:val="054129CC"/>
    <w:rsid w:val="05433861"/>
    <w:rsid w:val="054F477E"/>
    <w:rsid w:val="055A17F2"/>
    <w:rsid w:val="055B3833"/>
    <w:rsid w:val="05627F16"/>
    <w:rsid w:val="0569078F"/>
    <w:rsid w:val="05717D0F"/>
    <w:rsid w:val="057559AF"/>
    <w:rsid w:val="05757FFA"/>
    <w:rsid w:val="057A0E9D"/>
    <w:rsid w:val="057A69E0"/>
    <w:rsid w:val="057B4608"/>
    <w:rsid w:val="05893F76"/>
    <w:rsid w:val="058E0144"/>
    <w:rsid w:val="05955787"/>
    <w:rsid w:val="0598777C"/>
    <w:rsid w:val="05A24EFE"/>
    <w:rsid w:val="05A56B9C"/>
    <w:rsid w:val="05B12759"/>
    <w:rsid w:val="05B2575A"/>
    <w:rsid w:val="05B52A18"/>
    <w:rsid w:val="05B66F2B"/>
    <w:rsid w:val="05BB11CB"/>
    <w:rsid w:val="05BC124C"/>
    <w:rsid w:val="05C06C63"/>
    <w:rsid w:val="05C31DA2"/>
    <w:rsid w:val="05C636BA"/>
    <w:rsid w:val="05C8248C"/>
    <w:rsid w:val="05CF28C9"/>
    <w:rsid w:val="05D77224"/>
    <w:rsid w:val="05E50E16"/>
    <w:rsid w:val="05EC2B3F"/>
    <w:rsid w:val="05EE6F89"/>
    <w:rsid w:val="05F13B78"/>
    <w:rsid w:val="05F354CF"/>
    <w:rsid w:val="05FB01E2"/>
    <w:rsid w:val="0605158C"/>
    <w:rsid w:val="06080D67"/>
    <w:rsid w:val="060A4377"/>
    <w:rsid w:val="06113EF5"/>
    <w:rsid w:val="06193286"/>
    <w:rsid w:val="06196DE7"/>
    <w:rsid w:val="0622792C"/>
    <w:rsid w:val="062B3B78"/>
    <w:rsid w:val="062B7A8A"/>
    <w:rsid w:val="062C43AC"/>
    <w:rsid w:val="06335893"/>
    <w:rsid w:val="06351D3A"/>
    <w:rsid w:val="06365B4E"/>
    <w:rsid w:val="063C109E"/>
    <w:rsid w:val="06412CA8"/>
    <w:rsid w:val="0645177D"/>
    <w:rsid w:val="064707DC"/>
    <w:rsid w:val="064B0D43"/>
    <w:rsid w:val="06594D5E"/>
    <w:rsid w:val="065965B2"/>
    <w:rsid w:val="065D7A02"/>
    <w:rsid w:val="065E1E0D"/>
    <w:rsid w:val="065F6E93"/>
    <w:rsid w:val="06645FEE"/>
    <w:rsid w:val="0666172B"/>
    <w:rsid w:val="0667495C"/>
    <w:rsid w:val="066C6E03"/>
    <w:rsid w:val="067038E8"/>
    <w:rsid w:val="06712BF3"/>
    <w:rsid w:val="06726C0F"/>
    <w:rsid w:val="06776621"/>
    <w:rsid w:val="067D0EC5"/>
    <w:rsid w:val="067F73F5"/>
    <w:rsid w:val="06857B9E"/>
    <w:rsid w:val="06865A82"/>
    <w:rsid w:val="068661F6"/>
    <w:rsid w:val="0689347E"/>
    <w:rsid w:val="068B5055"/>
    <w:rsid w:val="069206BF"/>
    <w:rsid w:val="069472DA"/>
    <w:rsid w:val="069B7C74"/>
    <w:rsid w:val="06A0469F"/>
    <w:rsid w:val="06A53B74"/>
    <w:rsid w:val="06A72B51"/>
    <w:rsid w:val="06B211C5"/>
    <w:rsid w:val="06B85508"/>
    <w:rsid w:val="06BB0C22"/>
    <w:rsid w:val="06BE1EDA"/>
    <w:rsid w:val="06C54940"/>
    <w:rsid w:val="06D57F24"/>
    <w:rsid w:val="06DE43EC"/>
    <w:rsid w:val="06EB38CC"/>
    <w:rsid w:val="06F3284E"/>
    <w:rsid w:val="06FB2667"/>
    <w:rsid w:val="06FD1D7D"/>
    <w:rsid w:val="06FD2E20"/>
    <w:rsid w:val="06FF0E08"/>
    <w:rsid w:val="06FF36E8"/>
    <w:rsid w:val="07090BF3"/>
    <w:rsid w:val="070D482E"/>
    <w:rsid w:val="07163FAA"/>
    <w:rsid w:val="07210655"/>
    <w:rsid w:val="0723612E"/>
    <w:rsid w:val="07282E09"/>
    <w:rsid w:val="0733382B"/>
    <w:rsid w:val="073447EA"/>
    <w:rsid w:val="0737074B"/>
    <w:rsid w:val="073E4D67"/>
    <w:rsid w:val="073E79DA"/>
    <w:rsid w:val="07430ED6"/>
    <w:rsid w:val="074D5899"/>
    <w:rsid w:val="07504915"/>
    <w:rsid w:val="07581385"/>
    <w:rsid w:val="075B3174"/>
    <w:rsid w:val="075D669A"/>
    <w:rsid w:val="075E4035"/>
    <w:rsid w:val="07604575"/>
    <w:rsid w:val="07621332"/>
    <w:rsid w:val="076442F4"/>
    <w:rsid w:val="07672555"/>
    <w:rsid w:val="076E15D8"/>
    <w:rsid w:val="077349CD"/>
    <w:rsid w:val="077A4426"/>
    <w:rsid w:val="07823A5D"/>
    <w:rsid w:val="078B6F8D"/>
    <w:rsid w:val="07972A19"/>
    <w:rsid w:val="07997DF2"/>
    <w:rsid w:val="07A07351"/>
    <w:rsid w:val="07A24D9F"/>
    <w:rsid w:val="07A62004"/>
    <w:rsid w:val="07AA59BD"/>
    <w:rsid w:val="07AB0B19"/>
    <w:rsid w:val="07BB6150"/>
    <w:rsid w:val="07BD3F1D"/>
    <w:rsid w:val="07C95B66"/>
    <w:rsid w:val="07CF0D71"/>
    <w:rsid w:val="07D14598"/>
    <w:rsid w:val="07D24367"/>
    <w:rsid w:val="07D31F77"/>
    <w:rsid w:val="07DD3529"/>
    <w:rsid w:val="07E40840"/>
    <w:rsid w:val="07E75136"/>
    <w:rsid w:val="07E9719A"/>
    <w:rsid w:val="07F05315"/>
    <w:rsid w:val="07F258AC"/>
    <w:rsid w:val="07F41C47"/>
    <w:rsid w:val="07F91FAF"/>
    <w:rsid w:val="07FD063E"/>
    <w:rsid w:val="080125DA"/>
    <w:rsid w:val="08012CC2"/>
    <w:rsid w:val="08070DFA"/>
    <w:rsid w:val="080C721F"/>
    <w:rsid w:val="08143E14"/>
    <w:rsid w:val="081678A8"/>
    <w:rsid w:val="081D1B73"/>
    <w:rsid w:val="082642DB"/>
    <w:rsid w:val="08277E54"/>
    <w:rsid w:val="082D38CD"/>
    <w:rsid w:val="082D3A50"/>
    <w:rsid w:val="083B535A"/>
    <w:rsid w:val="083F0254"/>
    <w:rsid w:val="0840132C"/>
    <w:rsid w:val="084724A0"/>
    <w:rsid w:val="084B5552"/>
    <w:rsid w:val="08613B9C"/>
    <w:rsid w:val="08622DDD"/>
    <w:rsid w:val="087C60FE"/>
    <w:rsid w:val="087C6B3B"/>
    <w:rsid w:val="087E4E26"/>
    <w:rsid w:val="088B7236"/>
    <w:rsid w:val="088D47A5"/>
    <w:rsid w:val="088E7DF0"/>
    <w:rsid w:val="089611BA"/>
    <w:rsid w:val="089E4531"/>
    <w:rsid w:val="08A43DDD"/>
    <w:rsid w:val="08AE674A"/>
    <w:rsid w:val="08AF1FD1"/>
    <w:rsid w:val="08AF3773"/>
    <w:rsid w:val="08B42DF5"/>
    <w:rsid w:val="08B72899"/>
    <w:rsid w:val="08B7551F"/>
    <w:rsid w:val="08B776D0"/>
    <w:rsid w:val="08BA3D66"/>
    <w:rsid w:val="08BC2029"/>
    <w:rsid w:val="08BF348F"/>
    <w:rsid w:val="08CA2A7A"/>
    <w:rsid w:val="08CE6CF7"/>
    <w:rsid w:val="08D35203"/>
    <w:rsid w:val="08D61F96"/>
    <w:rsid w:val="08D65456"/>
    <w:rsid w:val="08D75702"/>
    <w:rsid w:val="08DD2346"/>
    <w:rsid w:val="08DE3C3F"/>
    <w:rsid w:val="08E57006"/>
    <w:rsid w:val="08E623AA"/>
    <w:rsid w:val="08F43CEC"/>
    <w:rsid w:val="08FC542C"/>
    <w:rsid w:val="08FD2E30"/>
    <w:rsid w:val="08FE6D54"/>
    <w:rsid w:val="09033FF5"/>
    <w:rsid w:val="090751DA"/>
    <w:rsid w:val="0910796B"/>
    <w:rsid w:val="091A6DF8"/>
    <w:rsid w:val="091D19D2"/>
    <w:rsid w:val="09265C25"/>
    <w:rsid w:val="09283670"/>
    <w:rsid w:val="092959A8"/>
    <w:rsid w:val="09296D64"/>
    <w:rsid w:val="09371B8A"/>
    <w:rsid w:val="09445664"/>
    <w:rsid w:val="0945153F"/>
    <w:rsid w:val="0947037D"/>
    <w:rsid w:val="09521248"/>
    <w:rsid w:val="09591417"/>
    <w:rsid w:val="09595430"/>
    <w:rsid w:val="096117D7"/>
    <w:rsid w:val="09635710"/>
    <w:rsid w:val="09664EE0"/>
    <w:rsid w:val="09676300"/>
    <w:rsid w:val="09735491"/>
    <w:rsid w:val="09767DE0"/>
    <w:rsid w:val="09796296"/>
    <w:rsid w:val="09944F60"/>
    <w:rsid w:val="0999659D"/>
    <w:rsid w:val="09997108"/>
    <w:rsid w:val="09A21EE9"/>
    <w:rsid w:val="09AD0DE8"/>
    <w:rsid w:val="09BB5F2A"/>
    <w:rsid w:val="09C145DE"/>
    <w:rsid w:val="09E475E3"/>
    <w:rsid w:val="09E55FF2"/>
    <w:rsid w:val="09EC6626"/>
    <w:rsid w:val="09F13EA4"/>
    <w:rsid w:val="09F14BEF"/>
    <w:rsid w:val="09F47725"/>
    <w:rsid w:val="09FB40AF"/>
    <w:rsid w:val="09FE5188"/>
    <w:rsid w:val="0A06339C"/>
    <w:rsid w:val="0A0E56BB"/>
    <w:rsid w:val="0A10567B"/>
    <w:rsid w:val="0A134775"/>
    <w:rsid w:val="0A191B26"/>
    <w:rsid w:val="0A1C57CE"/>
    <w:rsid w:val="0A227FC0"/>
    <w:rsid w:val="0A336DD7"/>
    <w:rsid w:val="0A35298C"/>
    <w:rsid w:val="0A355E5C"/>
    <w:rsid w:val="0A410249"/>
    <w:rsid w:val="0A42222A"/>
    <w:rsid w:val="0A446276"/>
    <w:rsid w:val="0A485982"/>
    <w:rsid w:val="0A4D3A59"/>
    <w:rsid w:val="0A510264"/>
    <w:rsid w:val="0A5A734B"/>
    <w:rsid w:val="0A5B50C3"/>
    <w:rsid w:val="0A5B6D4B"/>
    <w:rsid w:val="0A7255AE"/>
    <w:rsid w:val="0A7D441E"/>
    <w:rsid w:val="0A830033"/>
    <w:rsid w:val="0A8C7EA8"/>
    <w:rsid w:val="0A9A7754"/>
    <w:rsid w:val="0A9E3141"/>
    <w:rsid w:val="0AA97A87"/>
    <w:rsid w:val="0AAA30F5"/>
    <w:rsid w:val="0AB44DCB"/>
    <w:rsid w:val="0AC25D2A"/>
    <w:rsid w:val="0AC519D9"/>
    <w:rsid w:val="0AC911AA"/>
    <w:rsid w:val="0AC97ECF"/>
    <w:rsid w:val="0ACA1A4B"/>
    <w:rsid w:val="0ACE687D"/>
    <w:rsid w:val="0AD2405E"/>
    <w:rsid w:val="0AD3408C"/>
    <w:rsid w:val="0AD51E62"/>
    <w:rsid w:val="0AF6120E"/>
    <w:rsid w:val="0AF80D2F"/>
    <w:rsid w:val="0B002508"/>
    <w:rsid w:val="0B0D2E45"/>
    <w:rsid w:val="0B0F6D82"/>
    <w:rsid w:val="0B133E72"/>
    <w:rsid w:val="0B185230"/>
    <w:rsid w:val="0B1C044F"/>
    <w:rsid w:val="0B266B9D"/>
    <w:rsid w:val="0B2C70EC"/>
    <w:rsid w:val="0B334994"/>
    <w:rsid w:val="0B3605EB"/>
    <w:rsid w:val="0B3A7E29"/>
    <w:rsid w:val="0B3B1274"/>
    <w:rsid w:val="0B44128D"/>
    <w:rsid w:val="0B44632D"/>
    <w:rsid w:val="0B573AFC"/>
    <w:rsid w:val="0B5D4169"/>
    <w:rsid w:val="0B5F3D37"/>
    <w:rsid w:val="0B611E26"/>
    <w:rsid w:val="0B655F6A"/>
    <w:rsid w:val="0B65795B"/>
    <w:rsid w:val="0B667531"/>
    <w:rsid w:val="0B67316B"/>
    <w:rsid w:val="0B6920C9"/>
    <w:rsid w:val="0B6C4562"/>
    <w:rsid w:val="0B6E713C"/>
    <w:rsid w:val="0B6F074F"/>
    <w:rsid w:val="0B7224A3"/>
    <w:rsid w:val="0B762F6A"/>
    <w:rsid w:val="0B7735DC"/>
    <w:rsid w:val="0B780846"/>
    <w:rsid w:val="0B810F3E"/>
    <w:rsid w:val="0B830DCA"/>
    <w:rsid w:val="0B832C72"/>
    <w:rsid w:val="0B8456AF"/>
    <w:rsid w:val="0B8A7BE8"/>
    <w:rsid w:val="0B8E467D"/>
    <w:rsid w:val="0B8E54D2"/>
    <w:rsid w:val="0B954BBC"/>
    <w:rsid w:val="0B9C6043"/>
    <w:rsid w:val="0BA15624"/>
    <w:rsid w:val="0BA30746"/>
    <w:rsid w:val="0BA814A4"/>
    <w:rsid w:val="0BAA3422"/>
    <w:rsid w:val="0BAB3F23"/>
    <w:rsid w:val="0BAC1142"/>
    <w:rsid w:val="0BB37A91"/>
    <w:rsid w:val="0BBE7F31"/>
    <w:rsid w:val="0BBF1AA3"/>
    <w:rsid w:val="0BC07A8C"/>
    <w:rsid w:val="0BC93F6C"/>
    <w:rsid w:val="0BCA194E"/>
    <w:rsid w:val="0BCA787B"/>
    <w:rsid w:val="0BD5484E"/>
    <w:rsid w:val="0BD84D86"/>
    <w:rsid w:val="0BD9774D"/>
    <w:rsid w:val="0BDA7F6F"/>
    <w:rsid w:val="0BDB704E"/>
    <w:rsid w:val="0BE0566C"/>
    <w:rsid w:val="0BE7242F"/>
    <w:rsid w:val="0BED59A7"/>
    <w:rsid w:val="0BF15EF8"/>
    <w:rsid w:val="0BF17399"/>
    <w:rsid w:val="0BF23CD3"/>
    <w:rsid w:val="0BF97F25"/>
    <w:rsid w:val="0BFA5447"/>
    <w:rsid w:val="0C131C29"/>
    <w:rsid w:val="0C15412A"/>
    <w:rsid w:val="0C1A3213"/>
    <w:rsid w:val="0C1F602A"/>
    <w:rsid w:val="0C2355A1"/>
    <w:rsid w:val="0C2477C5"/>
    <w:rsid w:val="0C2E6DBF"/>
    <w:rsid w:val="0C382D3A"/>
    <w:rsid w:val="0C417D5A"/>
    <w:rsid w:val="0C4424F8"/>
    <w:rsid w:val="0C45329E"/>
    <w:rsid w:val="0C4928B4"/>
    <w:rsid w:val="0C575AE4"/>
    <w:rsid w:val="0C5A7D23"/>
    <w:rsid w:val="0C5A7EA2"/>
    <w:rsid w:val="0C5C3D82"/>
    <w:rsid w:val="0C615C5E"/>
    <w:rsid w:val="0C72662F"/>
    <w:rsid w:val="0C7F402E"/>
    <w:rsid w:val="0C800521"/>
    <w:rsid w:val="0C8A032B"/>
    <w:rsid w:val="0C8C5A91"/>
    <w:rsid w:val="0C9664AD"/>
    <w:rsid w:val="0C9C23BC"/>
    <w:rsid w:val="0C9D11C1"/>
    <w:rsid w:val="0C9F522A"/>
    <w:rsid w:val="0CA80047"/>
    <w:rsid w:val="0CAC7A16"/>
    <w:rsid w:val="0CB956C0"/>
    <w:rsid w:val="0CBA18B8"/>
    <w:rsid w:val="0CBF35C4"/>
    <w:rsid w:val="0CC27A7C"/>
    <w:rsid w:val="0CC72DFA"/>
    <w:rsid w:val="0CC9149F"/>
    <w:rsid w:val="0CC920F2"/>
    <w:rsid w:val="0CCF7C66"/>
    <w:rsid w:val="0CD7506F"/>
    <w:rsid w:val="0CE451A2"/>
    <w:rsid w:val="0CE838A0"/>
    <w:rsid w:val="0CED2C7A"/>
    <w:rsid w:val="0CF91D07"/>
    <w:rsid w:val="0CFC6FCD"/>
    <w:rsid w:val="0CFF0A97"/>
    <w:rsid w:val="0D0940D4"/>
    <w:rsid w:val="0D0E3406"/>
    <w:rsid w:val="0D1113AE"/>
    <w:rsid w:val="0D143EFE"/>
    <w:rsid w:val="0D1961DF"/>
    <w:rsid w:val="0D1F642F"/>
    <w:rsid w:val="0D2C25AC"/>
    <w:rsid w:val="0D30205A"/>
    <w:rsid w:val="0D331F7B"/>
    <w:rsid w:val="0D3471FD"/>
    <w:rsid w:val="0D386406"/>
    <w:rsid w:val="0D4250D1"/>
    <w:rsid w:val="0D432A8E"/>
    <w:rsid w:val="0D447580"/>
    <w:rsid w:val="0D471A80"/>
    <w:rsid w:val="0D472184"/>
    <w:rsid w:val="0D4A528F"/>
    <w:rsid w:val="0D4F4C89"/>
    <w:rsid w:val="0D505C3A"/>
    <w:rsid w:val="0D550B2C"/>
    <w:rsid w:val="0D555A89"/>
    <w:rsid w:val="0D574A4D"/>
    <w:rsid w:val="0D5D2AAC"/>
    <w:rsid w:val="0D5E716A"/>
    <w:rsid w:val="0D77332A"/>
    <w:rsid w:val="0D833222"/>
    <w:rsid w:val="0D8458C4"/>
    <w:rsid w:val="0D8B77C4"/>
    <w:rsid w:val="0D8D2403"/>
    <w:rsid w:val="0D920324"/>
    <w:rsid w:val="0DAC707D"/>
    <w:rsid w:val="0DAD12FE"/>
    <w:rsid w:val="0DB851C5"/>
    <w:rsid w:val="0DBB0313"/>
    <w:rsid w:val="0DBC4460"/>
    <w:rsid w:val="0DBC4F08"/>
    <w:rsid w:val="0DBE1B27"/>
    <w:rsid w:val="0DC37610"/>
    <w:rsid w:val="0DCB260B"/>
    <w:rsid w:val="0DD06EFB"/>
    <w:rsid w:val="0DD33510"/>
    <w:rsid w:val="0DD343DE"/>
    <w:rsid w:val="0DD621C2"/>
    <w:rsid w:val="0DD7692D"/>
    <w:rsid w:val="0DD80443"/>
    <w:rsid w:val="0DD93C28"/>
    <w:rsid w:val="0DDA2765"/>
    <w:rsid w:val="0DDC209B"/>
    <w:rsid w:val="0DE730FF"/>
    <w:rsid w:val="0DEB15B5"/>
    <w:rsid w:val="0DF44EF4"/>
    <w:rsid w:val="0DFC53FB"/>
    <w:rsid w:val="0E064F93"/>
    <w:rsid w:val="0E0B6329"/>
    <w:rsid w:val="0E0E7B10"/>
    <w:rsid w:val="0E1065BB"/>
    <w:rsid w:val="0E113AE0"/>
    <w:rsid w:val="0E161CAF"/>
    <w:rsid w:val="0E2C30E8"/>
    <w:rsid w:val="0E3361F8"/>
    <w:rsid w:val="0E3F33D0"/>
    <w:rsid w:val="0E4E2B4C"/>
    <w:rsid w:val="0E556D24"/>
    <w:rsid w:val="0E6301C3"/>
    <w:rsid w:val="0E63087E"/>
    <w:rsid w:val="0E6E7BD4"/>
    <w:rsid w:val="0E70297A"/>
    <w:rsid w:val="0E8572C5"/>
    <w:rsid w:val="0E8D18FB"/>
    <w:rsid w:val="0E8E3FD4"/>
    <w:rsid w:val="0E9170F9"/>
    <w:rsid w:val="0E920058"/>
    <w:rsid w:val="0E92079D"/>
    <w:rsid w:val="0E9E2A6D"/>
    <w:rsid w:val="0E9E70EB"/>
    <w:rsid w:val="0E9F10BF"/>
    <w:rsid w:val="0EA72407"/>
    <w:rsid w:val="0EAD1656"/>
    <w:rsid w:val="0EB150D5"/>
    <w:rsid w:val="0EC33AFB"/>
    <w:rsid w:val="0EC369BA"/>
    <w:rsid w:val="0EC56EB9"/>
    <w:rsid w:val="0ED64472"/>
    <w:rsid w:val="0EE4391C"/>
    <w:rsid w:val="0EE554DF"/>
    <w:rsid w:val="0EE828A6"/>
    <w:rsid w:val="0EEA5FAA"/>
    <w:rsid w:val="0EED16F9"/>
    <w:rsid w:val="0EEE2C8F"/>
    <w:rsid w:val="0EF1361F"/>
    <w:rsid w:val="0EF56D96"/>
    <w:rsid w:val="0EF86F62"/>
    <w:rsid w:val="0EFD49A7"/>
    <w:rsid w:val="0F0202E2"/>
    <w:rsid w:val="0F055574"/>
    <w:rsid w:val="0F081F20"/>
    <w:rsid w:val="0F0D578A"/>
    <w:rsid w:val="0F10201C"/>
    <w:rsid w:val="0F132C2E"/>
    <w:rsid w:val="0F184C91"/>
    <w:rsid w:val="0F1A4037"/>
    <w:rsid w:val="0F1B4007"/>
    <w:rsid w:val="0F2805A3"/>
    <w:rsid w:val="0F2824BD"/>
    <w:rsid w:val="0F2C6CF6"/>
    <w:rsid w:val="0F2D2052"/>
    <w:rsid w:val="0F2E7ED9"/>
    <w:rsid w:val="0F315C4A"/>
    <w:rsid w:val="0F331C13"/>
    <w:rsid w:val="0F351E45"/>
    <w:rsid w:val="0F3D37E9"/>
    <w:rsid w:val="0F3F1609"/>
    <w:rsid w:val="0F3F5F11"/>
    <w:rsid w:val="0F450DE3"/>
    <w:rsid w:val="0F461572"/>
    <w:rsid w:val="0F471C22"/>
    <w:rsid w:val="0F476B79"/>
    <w:rsid w:val="0F4B34EB"/>
    <w:rsid w:val="0F4C3BC2"/>
    <w:rsid w:val="0F4E6399"/>
    <w:rsid w:val="0F503AA9"/>
    <w:rsid w:val="0F541D49"/>
    <w:rsid w:val="0F5A2F4B"/>
    <w:rsid w:val="0F673852"/>
    <w:rsid w:val="0F684A28"/>
    <w:rsid w:val="0F6B2692"/>
    <w:rsid w:val="0F6D0D47"/>
    <w:rsid w:val="0F6F4C09"/>
    <w:rsid w:val="0F716670"/>
    <w:rsid w:val="0F767B47"/>
    <w:rsid w:val="0F7C2F1F"/>
    <w:rsid w:val="0F7D3707"/>
    <w:rsid w:val="0F814F24"/>
    <w:rsid w:val="0F822D33"/>
    <w:rsid w:val="0F8E7F6E"/>
    <w:rsid w:val="0F951FFD"/>
    <w:rsid w:val="0F9A7F8F"/>
    <w:rsid w:val="0F9F6489"/>
    <w:rsid w:val="0FA06D4F"/>
    <w:rsid w:val="0FA10228"/>
    <w:rsid w:val="0FA62C25"/>
    <w:rsid w:val="0FAA02EE"/>
    <w:rsid w:val="0FAD26E5"/>
    <w:rsid w:val="0FBC7C89"/>
    <w:rsid w:val="0FC41C5F"/>
    <w:rsid w:val="0FC973CE"/>
    <w:rsid w:val="0FCA1659"/>
    <w:rsid w:val="0FCD0769"/>
    <w:rsid w:val="0FCD6D70"/>
    <w:rsid w:val="0FD05B4E"/>
    <w:rsid w:val="0FD45BFA"/>
    <w:rsid w:val="0FE46B29"/>
    <w:rsid w:val="0FEC6C99"/>
    <w:rsid w:val="0FEF7EAD"/>
    <w:rsid w:val="0FF70608"/>
    <w:rsid w:val="0FF90017"/>
    <w:rsid w:val="10047D52"/>
    <w:rsid w:val="100943C9"/>
    <w:rsid w:val="1014576B"/>
    <w:rsid w:val="101B0A99"/>
    <w:rsid w:val="101C465A"/>
    <w:rsid w:val="101D60F5"/>
    <w:rsid w:val="10241C31"/>
    <w:rsid w:val="1025792D"/>
    <w:rsid w:val="10293A2C"/>
    <w:rsid w:val="1037190B"/>
    <w:rsid w:val="1038419A"/>
    <w:rsid w:val="10394EC6"/>
    <w:rsid w:val="10405F01"/>
    <w:rsid w:val="1041001D"/>
    <w:rsid w:val="1043693A"/>
    <w:rsid w:val="10442CD3"/>
    <w:rsid w:val="10443125"/>
    <w:rsid w:val="10460904"/>
    <w:rsid w:val="10481885"/>
    <w:rsid w:val="104B76AD"/>
    <w:rsid w:val="105364DC"/>
    <w:rsid w:val="105532C6"/>
    <w:rsid w:val="105A4A76"/>
    <w:rsid w:val="10676C37"/>
    <w:rsid w:val="106775E6"/>
    <w:rsid w:val="1076115B"/>
    <w:rsid w:val="10780B94"/>
    <w:rsid w:val="107A0366"/>
    <w:rsid w:val="107E7E9B"/>
    <w:rsid w:val="1095342E"/>
    <w:rsid w:val="109C4565"/>
    <w:rsid w:val="109E1A17"/>
    <w:rsid w:val="109F55A2"/>
    <w:rsid w:val="10A433F6"/>
    <w:rsid w:val="10A841F4"/>
    <w:rsid w:val="10BB3EDC"/>
    <w:rsid w:val="10BE7687"/>
    <w:rsid w:val="10C0344A"/>
    <w:rsid w:val="10C105EC"/>
    <w:rsid w:val="10C47765"/>
    <w:rsid w:val="10D5378B"/>
    <w:rsid w:val="10D77F00"/>
    <w:rsid w:val="10D808E5"/>
    <w:rsid w:val="10DE3574"/>
    <w:rsid w:val="10DF092A"/>
    <w:rsid w:val="10E306B9"/>
    <w:rsid w:val="10E34387"/>
    <w:rsid w:val="10EA7D30"/>
    <w:rsid w:val="10EB6532"/>
    <w:rsid w:val="10F43331"/>
    <w:rsid w:val="10FD7101"/>
    <w:rsid w:val="11051149"/>
    <w:rsid w:val="11067819"/>
    <w:rsid w:val="110F618C"/>
    <w:rsid w:val="11154CB0"/>
    <w:rsid w:val="11185797"/>
    <w:rsid w:val="112465A3"/>
    <w:rsid w:val="11252589"/>
    <w:rsid w:val="112D70EA"/>
    <w:rsid w:val="1133428D"/>
    <w:rsid w:val="11371889"/>
    <w:rsid w:val="11384360"/>
    <w:rsid w:val="113B3208"/>
    <w:rsid w:val="113C726C"/>
    <w:rsid w:val="11401050"/>
    <w:rsid w:val="114157F8"/>
    <w:rsid w:val="11444859"/>
    <w:rsid w:val="11454A7A"/>
    <w:rsid w:val="11454B65"/>
    <w:rsid w:val="114764B1"/>
    <w:rsid w:val="11485F6B"/>
    <w:rsid w:val="114A690F"/>
    <w:rsid w:val="114A7A6C"/>
    <w:rsid w:val="114C1747"/>
    <w:rsid w:val="115C4D8B"/>
    <w:rsid w:val="11766E35"/>
    <w:rsid w:val="117A0B35"/>
    <w:rsid w:val="117B7651"/>
    <w:rsid w:val="117D35B2"/>
    <w:rsid w:val="11801BAE"/>
    <w:rsid w:val="118D5B98"/>
    <w:rsid w:val="11955482"/>
    <w:rsid w:val="119D1273"/>
    <w:rsid w:val="11A1700C"/>
    <w:rsid w:val="11C76038"/>
    <w:rsid w:val="11CB5A33"/>
    <w:rsid w:val="11CE569D"/>
    <w:rsid w:val="11CE6861"/>
    <w:rsid w:val="11D01937"/>
    <w:rsid w:val="11D43080"/>
    <w:rsid w:val="11D4616C"/>
    <w:rsid w:val="11D469AE"/>
    <w:rsid w:val="11D60ECE"/>
    <w:rsid w:val="11D65D2A"/>
    <w:rsid w:val="11DD4AD6"/>
    <w:rsid w:val="11E537DC"/>
    <w:rsid w:val="11EA1373"/>
    <w:rsid w:val="11ED6788"/>
    <w:rsid w:val="11EF0997"/>
    <w:rsid w:val="11FC50FC"/>
    <w:rsid w:val="12063136"/>
    <w:rsid w:val="120F2D60"/>
    <w:rsid w:val="120F408D"/>
    <w:rsid w:val="122134F9"/>
    <w:rsid w:val="122255FE"/>
    <w:rsid w:val="12343E24"/>
    <w:rsid w:val="123835BC"/>
    <w:rsid w:val="1238755F"/>
    <w:rsid w:val="12453A8A"/>
    <w:rsid w:val="124545ED"/>
    <w:rsid w:val="12485A41"/>
    <w:rsid w:val="124B0FCA"/>
    <w:rsid w:val="124D0150"/>
    <w:rsid w:val="1255274F"/>
    <w:rsid w:val="12646306"/>
    <w:rsid w:val="126516B7"/>
    <w:rsid w:val="1265618A"/>
    <w:rsid w:val="12665110"/>
    <w:rsid w:val="12673847"/>
    <w:rsid w:val="126A5144"/>
    <w:rsid w:val="126D7481"/>
    <w:rsid w:val="126D7EA1"/>
    <w:rsid w:val="12781F60"/>
    <w:rsid w:val="127A3C93"/>
    <w:rsid w:val="127B3330"/>
    <w:rsid w:val="128077B9"/>
    <w:rsid w:val="128671A6"/>
    <w:rsid w:val="1288409B"/>
    <w:rsid w:val="12887F77"/>
    <w:rsid w:val="129040A0"/>
    <w:rsid w:val="12995339"/>
    <w:rsid w:val="129C3E02"/>
    <w:rsid w:val="12A71CE2"/>
    <w:rsid w:val="12A84C29"/>
    <w:rsid w:val="12AA12A1"/>
    <w:rsid w:val="12AC6DA5"/>
    <w:rsid w:val="12B75A50"/>
    <w:rsid w:val="12BE77F0"/>
    <w:rsid w:val="12C47D0B"/>
    <w:rsid w:val="12C909E1"/>
    <w:rsid w:val="12D44395"/>
    <w:rsid w:val="12DA4C8F"/>
    <w:rsid w:val="12E54A8E"/>
    <w:rsid w:val="12E749C0"/>
    <w:rsid w:val="12EF7290"/>
    <w:rsid w:val="12F22920"/>
    <w:rsid w:val="12F455B2"/>
    <w:rsid w:val="12FA6F21"/>
    <w:rsid w:val="12FD7F06"/>
    <w:rsid w:val="13022689"/>
    <w:rsid w:val="131E2341"/>
    <w:rsid w:val="13362FDB"/>
    <w:rsid w:val="133B2DB9"/>
    <w:rsid w:val="133D604A"/>
    <w:rsid w:val="133D70C5"/>
    <w:rsid w:val="13403917"/>
    <w:rsid w:val="1342656F"/>
    <w:rsid w:val="134E4157"/>
    <w:rsid w:val="135B5261"/>
    <w:rsid w:val="13606559"/>
    <w:rsid w:val="13631BA6"/>
    <w:rsid w:val="13672764"/>
    <w:rsid w:val="13725B23"/>
    <w:rsid w:val="1373533C"/>
    <w:rsid w:val="1373797F"/>
    <w:rsid w:val="13793A71"/>
    <w:rsid w:val="137B55C3"/>
    <w:rsid w:val="137C38D6"/>
    <w:rsid w:val="137D19FB"/>
    <w:rsid w:val="138410AD"/>
    <w:rsid w:val="138A018B"/>
    <w:rsid w:val="138F21AC"/>
    <w:rsid w:val="13906957"/>
    <w:rsid w:val="139657B7"/>
    <w:rsid w:val="13994B06"/>
    <w:rsid w:val="139F124F"/>
    <w:rsid w:val="13A70FA6"/>
    <w:rsid w:val="13AD7662"/>
    <w:rsid w:val="13AE5D11"/>
    <w:rsid w:val="13B41CC3"/>
    <w:rsid w:val="13B7271A"/>
    <w:rsid w:val="13B9226B"/>
    <w:rsid w:val="13C0694E"/>
    <w:rsid w:val="13C26844"/>
    <w:rsid w:val="13CF2DBC"/>
    <w:rsid w:val="13DC58E2"/>
    <w:rsid w:val="13E00A78"/>
    <w:rsid w:val="13E2016C"/>
    <w:rsid w:val="13E20301"/>
    <w:rsid w:val="13E6069D"/>
    <w:rsid w:val="13E64DE1"/>
    <w:rsid w:val="13E80229"/>
    <w:rsid w:val="13ED1A3D"/>
    <w:rsid w:val="13ED7800"/>
    <w:rsid w:val="13EF5C30"/>
    <w:rsid w:val="13F016A6"/>
    <w:rsid w:val="13F23287"/>
    <w:rsid w:val="13F734C2"/>
    <w:rsid w:val="14097A5C"/>
    <w:rsid w:val="140D4A4D"/>
    <w:rsid w:val="1418443F"/>
    <w:rsid w:val="14190CF8"/>
    <w:rsid w:val="141B0177"/>
    <w:rsid w:val="1422671B"/>
    <w:rsid w:val="142874CF"/>
    <w:rsid w:val="14374AFC"/>
    <w:rsid w:val="14385E0D"/>
    <w:rsid w:val="143A0A69"/>
    <w:rsid w:val="144113AF"/>
    <w:rsid w:val="144651F3"/>
    <w:rsid w:val="144844BD"/>
    <w:rsid w:val="144A3F38"/>
    <w:rsid w:val="144C513C"/>
    <w:rsid w:val="14571592"/>
    <w:rsid w:val="14576EEE"/>
    <w:rsid w:val="145B14DC"/>
    <w:rsid w:val="145B5295"/>
    <w:rsid w:val="145E1D07"/>
    <w:rsid w:val="14632D00"/>
    <w:rsid w:val="14656EED"/>
    <w:rsid w:val="146905E6"/>
    <w:rsid w:val="147027CC"/>
    <w:rsid w:val="148000B2"/>
    <w:rsid w:val="1486599E"/>
    <w:rsid w:val="148F0B78"/>
    <w:rsid w:val="1490436E"/>
    <w:rsid w:val="149348C5"/>
    <w:rsid w:val="14936510"/>
    <w:rsid w:val="14982561"/>
    <w:rsid w:val="149B5C53"/>
    <w:rsid w:val="14AC5934"/>
    <w:rsid w:val="14AF394C"/>
    <w:rsid w:val="14B02BB8"/>
    <w:rsid w:val="14B4262B"/>
    <w:rsid w:val="14B46692"/>
    <w:rsid w:val="14BB5556"/>
    <w:rsid w:val="14C2296C"/>
    <w:rsid w:val="14C2314B"/>
    <w:rsid w:val="14C637B1"/>
    <w:rsid w:val="14D8446B"/>
    <w:rsid w:val="14E1236D"/>
    <w:rsid w:val="14E3712D"/>
    <w:rsid w:val="14E6520E"/>
    <w:rsid w:val="14EC065E"/>
    <w:rsid w:val="14ED000F"/>
    <w:rsid w:val="14F144C9"/>
    <w:rsid w:val="14F30427"/>
    <w:rsid w:val="14F554AF"/>
    <w:rsid w:val="14F61C22"/>
    <w:rsid w:val="14F926D8"/>
    <w:rsid w:val="14FC3406"/>
    <w:rsid w:val="14FC7AA6"/>
    <w:rsid w:val="15091456"/>
    <w:rsid w:val="15180F53"/>
    <w:rsid w:val="1521198B"/>
    <w:rsid w:val="152445AB"/>
    <w:rsid w:val="15277C62"/>
    <w:rsid w:val="1534737F"/>
    <w:rsid w:val="15396145"/>
    <w:rsid w:val="15425029"/>
    <w:rsid w:val="15445871"/>
    <w:rsid w:val="15487DF1"/>
    <w:rsid w:val="15493DB7"/>
    <w:rsid w:val="154C0426"/>
    <w:rsid w:val="15501682"/>
    <w:rsid w:val="155F7086"/>
    <w:rsid w:val="15693F6F"/>
    <w:rsid w:val="156A244D"/>
    <w:rsid w:val="156B21DC"/>
    <w:rsid w:val="15741544"/>
    <w:rsid w:val="15754827"/>
    <w:rsid w:val="15794A47"/>
    <w:rsid w:val="157A2AFA"/>
    <w:rsid w:val="157D0B12"/>
    <w:rsid w:val="157E2EF8"/>
    <w:rsid w:val="157F21D3"/>
    <w:rsid w:val="15816BF9"/>
    <w:rsid w:val="15873F3D"/>
    <w:rsid w:val="159256B4"/>
    <w:rsid w:val="159851FF"/>
    <w:rsid w:val="159E14F3"/>
    <w:rsid w:val="159E5D9B"/>
    <w:rsid w:val="15AC3566"/>
    <w:rsid w:val="15B02056"/>
    <w:rsid w:val="15B405ED"/>
    <w:rsid w:val="15B5279C"/>
    <w:rsid w:val="15B641F1"/>
    <w:rsid w:val="15B64A7D"/>
    <w:rsid w:val="15BC3411"/>
    <w:rsid w:val="15D106D3"/>
    <w:rsid w:val="15D45724"/>
    <w:rsid w:val="15D802EA"/>
    <w:rsid w:val="15DF21AA"/>
    <w:rsid w:val="15E14DBB"/>
    <w:rsid w:val="15E22671"/>
    <w:rsid w:val="15E4226B"/>
    <w:rsid w:val="15F1005B"/>
    <w:rsid w:val="15F35D60"/>
    <w:rsid w:val="15F634D8"/>
    <w:rsid w:val="15FA2A02"/>
    <w:rsid w:val="15FA6DA8"/>
    <w:rsid w:val="15FB25B8"/>
    <w:rsid w:val="15FF4A7D"/>
    <w:rsid w:val="160D4B58"/>
    <w:rsid w:val="160F0326"/>
    <w:rsid w:val="160F5D66"/>
    <w:rsid w:val="16126CFF"/>
    <w:rsid w:val="16170D0D"/>
    <w:rsid w:val="16171399"/>
    <w:rsid w:val="161758A7"/>
    <w:rsid w:val="16203886"/>
    <w:rsid w:val="162C53CF"/>
    <w:rsid w:val="16305C43"/>
    <w:rsid w:val="163223C6"/>
    <w:rsid w:val="163506FA"/>
    <w:rsid w:val="16375BC1"/>
    <w:rsid w:val="16376A0E"/>
    <w:rsid w:val="16493C4B"/>
    <w:rsid w:val="164F7029"/>
    <w:rsid w:val="165106D9"/>
    <w:rsid w:val="1652472A"/>
    <w:rsid w:val="16566736"/>
    <w:rsid w:val="165E1AC3"/>
    <w:rsid w:val="165F0168"/>
    <w:rsid w:val="166623BC"/>
    <w:rsid w:val="166B523B"/>
    <w:rsid w:val="16727984"/>
    <w:rsid w:val="167C4ED6"/>
    <w:rsid w:val="168C3989"/>
    <w:rsid w:val="16926C04"/>
    <w:rsid w:val="16953F1A"/>
    <w:rsid w:val="169634EC"/>
    <w:rsid w:val="169917A0"/>
    <w:rsid w:val="169B68F7"/>
    <w:rsid w:val="169B6F62"/>
    <w:rsid w:val="169F4095"/>
    <w:rsid w:val="16A510C0"/>
    <w:rsid w:val="16A76CBD"/>
    <w:rsid w:val="16A92CDB"/>
    <w:rsid w:val="16A931FD"/>
    <w:rsid w:val="16AC15C1"/>
    <w:rsid w:val="16AC2C45"/>
    <w:rsid w:val="16B21E28"/>
    <w:rsid w:val="16C02EE2"/>
    <w:rsid w:val="16C624EA"/>
    <w:rsid w:val="16CE5378"/>
    <w:rsid w:val="16D00889"/>
    <w:rsid w:val="16D23FF9"/>
    <w:rsid w:val="16D51E50"/>
    <w:rsid w:val="16D746A4"/>
    <w:rsid w:val="16DF5613"/>
    <w:rsid w:val="16E049E2"/>
    <w:rsid w:val="16E946B0"/>
    <w:rsid w:val="16F2280E"/>
    <w:rsid w:val="16F3789E"/>
    <w:rsid w:val="16F56EDB"/>
    <w:rsid w:val="16FC09EA"/>
    <w:rsid w:val="17007ACD"/>
    <w:rsid w:val="170C2DE5"/>
    <w:rsid w:val="17160B9D"/>
    <w:rsid w:val="171635F4"/>
    <w:rsid w:val="171E67CD"/>
    <w:rsid w:val="172127F4"/>
    <w:rsid w:val="172E09D6"/>
    <w:rsid w:val="17303AA4"/>
    <w:rsid w:val="173D1DF2"/>
    <w:rsid w:val="1743529A"/>
    <w:rsid w:val="17476D88"/>
    <w:rsid w:val="175535C2"/>
    <w:rsid w:val="1756642C"/>
    <w:rsid w:val="17573FD8"/>
    <w:rsid w:val="175C3CE3"/>
    <w:rsid w:val="176207E1"/>
    <w:rsid w:val="17641D78"/>
    <w:rsid w:val="176420BA"/>
    <w:rsid w:val="17692764"/>
    <w:rsid w:val="17743AA8"/>
    <w:rsid w:val="17752796"/>
    <w:rsid w:val="177614A2"/>
    <w:rsid w:val="17792EE7"/>
    <w:rsid w:val="177D208F"/>
    <w:rsid w:val="17802C1E"/>
    <w:rsid w:val="1783284E"/>
    <w:rsid w:val="17837E73"/>
    <w:rsid w:val="178564BB"/>
    <w:rsid w:val="178814DC"/>
    <w:rsid w:val="179269E1"/>
    <w:rsid w:val="17930E0C"/>
    <w:rsid w:val="179509DD"/>
    <w:rsid w:val="179674F9"/>
    <w:rsid w:val="17A17234"/>
    <w:rsid w:val="17A76EF2"/>
    <w:rsid w:val="17AE1CC6"/>
    <w:rsid w:val="17AF011D"/>
    <w:rsid w:val="17AF42BB"/>
    <w:rsid w:val="17B37B3A"/>
    <w:rsid w:val="17BD1E65"/>
    <w:rsid w:val="17C03FFA"/>
    <w:rsid w:val="17C204DE"/>
    <w:rsid w:val="17D1617B"/>
    <w:rsid w:val="17DE1E89"/>
    <w:rsid w:val="17E5657B"/>
    <w:rsid w:val="17E825D2"/>
    <w:rsid w:val="17FC0FF4"/>
    <w:rsid w:val="17FE60FC"/>
    <w:rsid w:val="18101620"/>
    <w:rsid w:val="181E0D4A"/>
    <w:rsid w:val="181E1974"/>
    <w:rsid w:val="18235A11"/>
    <w:rsid w:val="182365DE"/>
    <w:rsid w:val="183343E0"/>
    <w:rsid w:val="1834080A"/>
    <w:rsid w:val="18370ED7"/>
    <w:rsid w:val="183B24AA"/>
    <w:rsid w:val="183D3CAE"/>
    <w:rsid w:val="183F4E2C"/>
    <w:rsid w:val="184F04A9"/>
    <w:rsid w:val="18503312"/>
    <w:rsid w:val="185A2C6A"/>
    <w:rsid w:val="185C0448"/>
    <w:rsid w:val="185D6E0D"/>
    <w:rsid w:val="18646D68"/>
    <w:rsid w:val="1867142E"/>
    <w:rsid w:val="18671E93"/>
    <w:rsid w:val="186F3A91"/>
    <w:rsid w:val="1870798A"/>
    <w:rsid w:val="187E15C7"/>
    <w:rsid w:val="18801F78"/>
    <w:rsid w:val="188121F7"/>
    <w:rsid w:val="18841A04"/>
    <w:rsid w:val="18841BDA"/>
    <w:rsid w:val="188572C6"/>
    <w:rsid w:val="1888153A"/>
    <w:rsid w:val="18893450"/>
    <w:rsid w:val="18893BA2"/>
    <w:rsid w:val="1892140B"/>
    <w:rsid w:val="18952F04"/>
    <w:rsid w:val="1897046B"/>
    <w:rsid w:val="18975436"/>
    <w:rsid w:val="189D4299"/>
    <w:rsid w:val="18A84B28"/>
    <w:rsid w:val="18AA02AB"/>
    <w:rsid w:val="18B2118C"/>
    <w:rsid w:val="18B72527"/>
    <w:rsid w:val="18C4171C"/>
    <w:rsid w:val="18C57A49"/>
    <w:rsid w:val="18C93274"/>
    <w:rsid w:val="18CC042C"/>
    <w:rsid w:val="18CC5F6A"/>
    <w:rsid w:val="18CD1C85"/>
    <w:rsid w:val="18D618B4"/>
    <w:rsid w:val="18DA1A63"/>
    <w:rsid w:val="18DE08A7"/>
    <w:rsid w:val="18DF216E"/>
    <w:rsid w:val="18E42259"/>
    <w:rsid w:val="18E66762"/>
    <w:rsid w:val="18E73EF7"/>
    <w:rsid w:val="18EA45F0"/>
    <w:rsid w:val="18EC40F1"/>
    <w:rsid w:val="18EF1902"/>
    <w:rsid w:val="18FA1FA8"/>
    <w:rsid w:val="19010E82"/>
    <w:rsid w:val="19026470"/>
    <w:rsid w:val="19063661"/>
    <w:rsid w:val="190A59FB"/>
    <w:rsid w:val="190E63BE"/>
    <w:rsid w:val="191002E7"/>
    <w:rsid w:val="191864D0"/>
    <w:rsid w:val="191941D5"/>
    <w:rsid w:val="192C3541"/>
    <w:rsid w:val="192D3986"/>
    <w:rsid w:val="193B0DDE"/>
    <w:rsid w:val="193F1BF5"/>
    <w:rsid w:val="1941063A"/>
    <w:rsid w:val="1944498D"/>
    <w:rsid w:val="194B0555"/>
    <w:rsid w:val="19555D78"/>
    <w:rsid w:val="19575C31"/>
    <w:rsid w:val="195D2695"/>
    <w:rsid w:val="19640835"/>
    <w:rsid w:val="196C0A6B"/>
    <w:rsid w:val="196C1B85"/>
    <w:rsid w:val="1973132D"/>
    <w:rsid w:val="197A3CD2"/>
    <w:rsid w:val="197B7F9C"/>
    <w:rsid w:val="19815BE6"/>
    <w:rsid w:val="198273B3"/>
    <w:rsid w:val="198518D0"/>
    <w:rsid w:val="198F7943"/>
    <w:rsid w:val="199C1473"/>
    <w:rsid w:val="19A343D1"/>
    <w:rsid w:val="19A755CD"/>
    <w:rsid w:val="19A856AD"/>
    <w:rsid w:val="19B8663A"/>
    <w:rsid w:val="19C056B1"/>
    <w:rsid w:val="19C52B5C"/>
    <w:rsid w:val="19CC4C5F"/>
    <w:rsid w:val="19DC0BB5"/>
    <w:rsid w:val="19DE4FF3"/>
    <w:rsid w:val="19E83214"/>
    <w:rsid w:val="19E91342"/>
    <w:rsid w:val="19F10236"/>
    <w:rsid w:val="19F36653"/>
    <w:rsid w:val="19F63BF5"/>
    <w:rsid w:val="1A0122A9"/>
    <w:rsid w:val="1A021CA2"/>
    <w:rsid w:val="1A0602B7"/>
    <w:rsid w:val="1A0E3061"/>
    <w:rsid w:val="1A184E60"/>
    <w:rsid w:val="1A191BAE"/>
    <w:rsid w:val="1A1A4AE0"/>
    <w:rsid w:val="1A1C5EE8"/>
    <w:rsid w:val="1A2377A9"/>
    <w:rsid w:val="1A2B2629"/>
    <w:rsid w:val="1A3354C0"/>
    <w:rsid w:val="1A392DB4"/>
    <w:rsid w:val="1A3D7EB5"/>
    <w:rsid w:val="1A523F30"/>
    <w:rsid w:val="1A54037A"/>
    <w:rsid w:val="1A622941"/>
    <w:rsid w:val="1A6466FC"/>
    <w:rsid w:val="1A652CF9"/>
    <w:rsid w:val="1A67497F"/>
    <w:rsid w:val="1A680E50"/>
    <w:rsid w:val="1A6E273A"/>
    <w:rsid w:val="1A737365"/>
    <w:rsid w:val="1A765666"/>
    <w:rsid w:val="1A7B6A0D"/>
    <w:rsid w:val="1A7D3029"/>
    <w:rsid w:val="1A831CAE"/>
    <w:rsid w:val="1A854115"/>
    <w:rsid w:val="1A9109D3"/>
    <w:rsid w:val="1AA07508"/>
    <w:rsid w:val="1AAF3145"/>
    <w:rsid w:val="1ABA05E3"/>
    <w:rsid w:val="1ABC54FE"/>
    <w:rsid w:val="1ABF3A06"/>
    <w:rsid w:val="1AC2451B"/>
    <w:rsid w:val="1AD13890"/>
    <w:rsid w:val="1AD978F7"/>
    <w:rsid w:val="1ADB7B14"/>
    <w:rsid w:val="1AE70D26"/>
    <w:rsid w:val="1AF24499"/>
    <w:rsid w:val="1AFE0050"/>
    <w:rsid w:val="1B061954"/>
    <w:rsid w:val="1B0E5CFC"/>
    <w:rsid w:val="1B121F7C"/>
    <w:rsid w:val="1B125CEF"/>
    <w:rsid w:val="1B180C65"/>
    <w:rsid w:val="1B2623D1"/>
    <w:rsid w:val="1B2C3BA8"/>
    <w:rsid w:val="1B313A9C"/>
    <w:rsid w:val="1B345437"/>
    <w:rsid w:val="1B352027"/>
    <w:rsid w:val="1B365C44"/>
    <w:rsid w:val="1B3A4F35"/>
    <w:rsid w:val="1B47126F"/>
    <w:rsid w:val="1B4877D6"/>
    <w:rsid w:val="1B500A1E"/>
    <w:rsid w:val="1B5249C3"/>
    <w:rsid w:val="1B531A70"/>
    <w:rsid w:val="1B55487B"/>
    <w:rsid w:val="1B5B012E"/>
    <w:rsid w:val="1B614C74"/>
    <w:rsid w:val="1B621297"/>
    <w:rsid w:val="1B694319"/>
    <w:rsid w:val="1B6A1796"/>
    <w:rsid w:val="1B6D12AC"/>
    <w:rsid w:val="1B7010FE"/>
    <w:rsid w:val="1B760824"/>
    <w:rsid w:val="1B763C1C"/>
    <w:rsid w:val="1B814E8A"/>
    <w:rsid w:val="1B851CD9"/>
    <w:rsid w:val="1B937302"/>
    <w:rsid w:val="1B943185"/>
    <w:rsid w:val="1B950916"/>
    <w:rsid w:val="1B9C04E9"/>
    <w:rsid w:val="1B9D4B9B"/>
    <w:rsid w:val="1B9D5AD5"/>
    <w:rsid w:val="1BA11D76"/>
    <w:rsid w:val="1BA21E1A"/>
    <w:rsid w:val="1BA86482"/>
    <w:rsid w:val="1BB0161D"/>
    <w:rsid w:val="1BB374F8"/>
    <w:rsid w:val="1BB45FDF"/>
    <w:rsid w:val="1BC738A2"/>
    <w:rsid w:val="1BD0092E"/>
    <w:rsid w:val="1BD715CB"/>
    <w:rsid w:val="1BDA7845"/>
    <w:rsid w:val="1BDF0808"/>
    <w:rsid w:val="1BE05E49"/>
    <w:rsid w:val="1BE57FAF"/>
    <w:rsid w:val="1BE725EE"/>
    <w:rsid w:val="1BE94A5E"/>
    <w:rsid w:val="1BEB1F60"/>
    <w:rsid w:val="1BEE42D0"/>
    <w:rsid w:val="1BEE7EF6"/>
    <w:rsid w:val="1BF74EFB"/>
    <w:rsid w:val="1BF8635E"/>
    <w:rsid w:val="1C012489"/>
    <w:rsid w:val="1C0526EF"/>
    <w:rsid w:val="1C117199"/>
    <w:rsid w:val="1C151A34"/>
    <w:rsid w:val="1C154FB6"/>
    <w:rsid w:val="1C1A0799"/>
    <w:rsid w:val="1C1A59FE"/>
    <w:rsid w:val="1C1F1D32"/>
    <w:rsid w:val="1C220738"/>
    <w:rsid w:val="1C2838C6"/>
    <w:rsid w:val="1C2900C3"/>
    <w:rsid w:val="1C2E1C72"/>
    <w:rsid w:val="1C3218B9"/>
    <w:rsid w:val="1C34588B"/>
    <w:rsid w:val="1C382FA6"/>
    <w:rsid w:val="1C42409E"/>
    <w:rsid w:val="1C4E69F0"/>
    <w:rsid w:val="1C52263F"/>
    <w:rsid w:val="1C5332BB"/>
    <w:rsid w:val="1C585C4C"/>
    <w:rsid w:val="1C5C2332"/>
    <w:rsid w:val="1C622E7E"/>
    <w:rsid w:val="1C69101A"/>
    <w:rsid w:val="1C6C7C3F"/>
    <w:rsid w:val="1C712A53"/>
    <w:rsid w:val="1C7A3F87"/>
    <w:rsid w:val="1C7A665B"/>
    <w:rsid w:val="1C8A0F0A"/>
    <w:rsid w:val="1C8C20A0"/>
    <w:rsid w:val="1C8F3D81"/>
    <w:rsid w:val="1C987814"/>
    <w:rsid w:val="1C99282B"/>
    <w:rsid w:val="1C9C68F1"/>
    <w:rsid w:val="1CA13205"/>
    <w:rsid w:val="1CA462D0"/>
    <w:rsid w:val="1CAB51E7"/>
    <w:rsid w:val="1CAD490E"/>
    <w:rsid w:val="1CAF4097"/>
    <w:rsid w:val="1CB255D7"/>
    <w:rsid w:val="1CBA0254"/>
    <w:rsid w:val="1CBA204C"/>
    <w:rsid w:val="1CBB5F19"/>
    <w:rsid w:val="1CBF6D38"/>
    <w:rsid w:val="1CC25C7E"/>
    <w:rsid w:val="1CC91EF6"/>
    <w:rsid w:val="1CCA7883"/>
    <w:rsid w:val="1CD917F9"/>
    <w:rsid w:val="1CE63CF9"/>
    <w:rsid w:val="1CEB48FE"/>
    <w:rsid w:val="1CEF6B87"/>
    <w:rsid w:val="1CF05C0F"/>
    <w:rsid w:val="1CFD0B03"/>
    <w:rsid w:val="1CFE4D18"/>
    <w:rsid w:val="1CFF1AC8"/>
    <w:rsid w:val="1CFF2801"/>
    <w:rsid w:val="1D003455"/>
    <w:rsid w:val="1D044DCD"/>
    <w:rsid w:val="1D0F5989"/>
    <w:rsid w:val="1D1139FC"/>
    <w:rsid w:val="1D1C77BB"/>
    <w:rsid w:val="1D203480"/>
    <w:rsid w:val="1D282DD5"/>
    <w:rsid w:val="1D2853C8"/>
    <w:rsid w:val="1D2F2EBE"/>
    <w:rsid w:val="1D2F7ACF"/>
    <w:rsid w:val="1D3045EC"/>
    <w:rsid w:val="1D307DAB"/>
    <w:rsid w:val="1D3219D2"/>
    <w:rsid w:val="1D3C0FEF"/>
    <w:rsid w:val="1D457CB1"/>
    <w:rsid w:val="1D4C6CDF"/>
    <w:rsid w:val="1D4C7C51"/>
    <w:rsid w:val="1D606DAF"/>
    <w:rsid w:val="1D6303BA"/>
    <w:rsid w:val="1D67019C"/>
    <w:rsid w:val="1D6F2EB8"/>
    <w:rsid w:val="1D700276"/>
    <w:rsid w:val="1D7D1B40"/>
    <w:rsid w:val="1D7E6FF6"/>
    <w:rsid w:val="1D833578"/>
    <w:rsid w:val="1D8436C2"/>
    <w:rsid w:val="1D874A0F"/>
    <w:rsid w:val="1D883217"/>
    <w:rsid w:val="1D8A2602"/>
    <w:rsid w:val="1D8A4010"/>
    <w:rsid w:val="1D9512B1"/>
    <w:rsid w:val="1D956E3D"/>
    <w:rsid w:val="1D972B50"/>
    <w:rsid w:val="1D987FA1"/>
    <w:rsid w:val="1D9F3CB5"/>
    <w:rsid w:val="1DA236F7"/>
    <w:rsid w:val="1DA41696"/>
    <w:rsid w:val="1DA575B0"/>
    <w:rsid w:val="1DA749E0"/>
    <w:rsid w:val="1DB129B6"/>
    <w:rsid w:val="1DB14605"/>
    <w:rsid w:val="1DBF3E21"/>
    <w:rsid w:val="1DC439FB"/>
    <w:rsid w:val="1DC964EA"/>
    <w:rsid w:val="1DCA70F1"/>
    <w:rsid w:val="1DCC6454"/>
    <w:rsid w:val="1DCE7995"/>
    <w:rsid w:val="1DDA2008"/>
    <w:rsid w:val="1DDC014D"/>
    <w:rsid w:val="1DE11900"/>
    <w:rsid w:val="1DE15962"/>
    <w:rsid w:val="1DE44B16"/>
    <w:rsid w:val="1DEB4F65"/>
    <w:rsid w:val="1DF325CA"/>
    <w:rsid w:val="1DFA4102"/>
    <w:rsid w:val="1DFA4DA5"/>
    <w:rsid w:val="1DFF05BC"/>
    <w:rsid w:val="1E020A66"/>
    <w:rsid w:val="1E0329FF"/>
    <w:rsid w:val="1E045332"/>
    <w:rsid w:val="1E050E8F"/>
    <w:rsid w:val="1E090893"/>
    <w:rsid w:val="1E0C545C"/>
    <w:rsid w:val="1E130956"/>
    <w:rsid w:val="1E145C5C"/>
    <w:rsid w:val="1E253BE8"/>
    <w:rsid w:val="1E275E13"/>
    <w:rsid w:val="1E2A5D7B"/>
    <w:rsid w:val="1E370256"/>
    <w:rsid w:val="1E396260"/>
    <w:rsid w:val="1E470907"/>
    <w:rsid w:val="1E4E5248"/>
    <w:rsid w:val="1E501159"/>
    <w:rsid w:val="1E5071AC"/>
    <w:rsid w:val="1E5A1811"/>
    <w:rsid w:val="1E5A22ED"/>
    <w:rsid w:val="1E5C3BA7"/>
    <w:rsid w:val="1E5D3589"/>
    <w:rsid w:val="1E5F2261"/>
    <w:rsid w:val="1E735434"/>
    <w:rsid w:val="1E77157B"/>
    <w:rsid w:val="1E8261DC"/>
    <w:rsid w:val="1E8C6CCF"/>
    <w:rsid w:val="1E8D5277"/>
    <w:rsid w:val="1E923B6C"/>
    <w:rsid w:val="1E937F25"/>
    <w:rsid w:val="1E946017"/>
    <w:rsid w:val="1E9810BB"/>
    <w:rsid w:val="1EA81996"/>
    <w:rsid w:val="1EAF41EE"/>
    <w:rsid w:val="1EB127B6"/>
    <w:rsid w:val="1EB61558"/>
    <w:rsid w:val="1EC464E6"/>
    <w:rsid w:val="1EC62C9C"/>
    <w:rsid w:val="1ECA1166"/>
    <w:rsid w:val="1ECB3E73"/>
    <w:rsid w:val="1ED95C03"/>
    <w:rsid w:val="1EE6322C"/>
    <w:rsid w:val="1EF522DC"/>
    <w:rsid w:val="1EF75C9E"/>
    <w:rsid w:val="1EFB5963"/>
    <w:rsid w:val="1EFB6300"/>
    <w:rsid w:val="1EFD7F4F"/>
    <w:rsid w:val="1EFE6B99"/>
    <w:rsid w:val="1EFF104E"/>
    <w:rsid w:val="1F001A02"/>
    <w:rsid w:val="1F061B0A"/>
    <w:rsid w:val="1F0B04DE"/>
    <w:rsid w:val="1F10600D"/>
    <w:rsid w:val="1F106FC9"/>
    <w:rsid w:val="1F1C2608"/>
    <w:rsid w:val="1F1E2E0A"/>
    <w:rsid w:val="1F1E680E"/>
    <w:rsid w:val="1F1F5107"/>
    <w:rsid w:val="1F227B0E"/>
    <w:rsid w:val="1F23241B"/>
    <w:rsid w:val="1F2E405D"/>
    <w:rsid w:val="1F2F3108"/>
    <w:rsid w:val="1F374EFB"/>
    <w:rsid w:val="1F476B57"/>
    <w:rsid w:val="1F4D2710"/>
    <w:rsid w:val="1F4F571B"/>
    <w:rsid w:val="1F5156A0"/>
    <w:rsid w:val="1F520690"/>
    <w:rsid w:val="1F591690"/>
    <w:rsid w:val="1F5A694B"/>
    <w:rsid w:val="1F5E1906"/>
    <w:rsid w:val="1F6402B1"/>
    <w:rsid w:val="1F641262"/>
    <w:rsid w:val="1F6622B1"/>
    <w:rsid w:val="1F697442"/>
    <w:rsid w:val="1F6D2AF5"/>
    <w:rsid w:val="1F732BEF"/>
    <w:rsid w:val="1F7448E7"/>
    <w:rsid w:val="1F7B1764"/>
    <w:rsid w:val="1F8440B8"/>
    <w:rsid w:val="1F8B235E"/>
    <w:rsid w:val="1F905F1B"/>
    <w:rsid w:val="1FA36D8A"/>
    <w:rsid w:val="1FB50FA3"/>
    <w:rsid w:val="1FC04F31"/>
    <w:rsid w:val="1FCB1314"/>
    <w:rsid w:val="1FCB7FF8"/>
    <w:rsid w:val="1FCE7FC9"/>
    <w:rsid w:val="1FD5748B"/>
    <w:rsid w:val="1FDA1FE4"/>
    <w:rsid w:val="1FE40C5E"/>
    <w:rsid w:val="1FE55163"/>
    <w:rsid w:val="1FEB5A40"/>
    <w:rsid w:val="1FEE2394"/>
    <w:rsid w:val="1FF076D2"/>
    <w:rsid w:val="200658F9"/>
    <w:rsid w:val="20067885"/>
    <w:rsid w:val="200B50CF"/>
    <w:rsid w:val="20105276"/>
    <w:rsid w:val="20106CF4"/>
    <w:rsid w:val="2013131A"/>
    <w:rsid w:val="20183B4D"/>
    <w:rsid w:val="20263ECD"/>
    <w:rsid w:val="2027345C"/>
    <w:rsid w:val="203741B3"/>
    <w:rsid w:val="203B1EE2"/>
    <w:rsid w:val="20451E50"/>
    <w:rsid w:val="20460C9C"/>
    <w:rsid w:val="204F6A1E"/>
    <w:rsid w:val="20557C4E"/>
    <w:rsid w:val="20593C3B"/>
    <w:rsid w:val="20604E92"/>
    <w:rsid w:val="20635670"/>
    <w:rsid w:val="20650CBB"/>
    <w:rsid w:val="206A6999"/>
    <w:rsid w:val="206C683D"/>
    <w:rsid w:val="206D3671"/>
    <w:rsid w:val="206D6888"/>
    <w:rsid w:val="206E3DFD"/>
    <w:rsid w:val="206F5565"/>
    <w:rsid w:val="20710221"/>
    <w:rsid w:val="20730D63"/>
    <w:rsid w:val="20744A7E"/>
    <w:rsid w:val="20795DD4"/>
    <w:rsid w:val="208227B6"/>
    <w:rsid w:val="208862D9"/>
    <w:rsid w:val="208B256B"/>
    <w:rsid w:val="20915DC2"/>
    <w:rsid w:val="20950429"/>
    <w:rsid w:val="209D2E9D"/>
    <w:rsid w:val="20AC1288"/>
    <w:rsid w:val="20AD0936"/>
    <w:rsid w:val="20B1768A"/>
    <w:rsid w:val="20B235D0"/>
    <w:rsid w:val="20B72C38"/>
    <w:rsid w:val="20BB2089"/>
    <w:rsid w:val="20BE7628"/>
    <w:rsid w:val="20C03129"/>
    <w:rsid w:val="20C11028"/>
    <w:rsid w:val="20C33B30"/>
    <w:rsid w:val="20C436FD"/>
    <w:rsid w:val="20C50292"/>
    <w:rsid w:val="20C67E10"/>
    <w:rsid w:val="20CF2791"/>
    <w:rsid w:val="20DA5E9D"/>
    <w:rsid w:val="20DF18A2"/>
    <w:rsid w:val="20EA5B82"/>
    <w:rsid w:val="20F05D60"/>
    <w:rsid w:val="20F06D02"/>
    <w:rsid w:val="20F86CB7"/>
    <w:rsid w:val="21024A33"/>
    <w:rsid w:val="2107341A"/>
    <w:rsid w:val="21094D23"/>
    <w:rsid w:val="21177B51"/>
    <w:rsid w:val="211B7B4C"/>
    <w:rsid w:val="211C3D59"/>
    <w:rsid w:val="211D091C"/>
    <w:rsid w:val="211E3AF9"/>
    <w:rsid w:val="21212810"/>
    <w:rsid w:val="21231762"/>
    <w:rsid w:val="21253B23"/>
    <w:rsid w:val="21270C98"/>
    <w:rsid w:val="212B1E09"/>
    <w:rsid w:val="212D0E99"/>
    <w:rsid w:val="21316838"/>
    <w:rsid w:val="21333BF5"/>
    <w:rsid w:val="213B46D1"/>
    <w:rsid w:val="213F428B"/>
    <w:rsid w:val="214B6C2E"/>
    <w:rsid w:val="214D0784"/>
    <w:rsid w:val="214F4A4D"/>
    <w:rsid w:val="215C3E48"/>
    <w:rsid w:val="21647161"/>
    <w:rsid w:val="216827D0"/>
    <w:rsid w:val="216D688E"/>
    <w:rsid w:val="217119FA"/>
    <w:rsid w:val="2171590D"/>
    <w:rsid w:val="21736FB2"/>
    <w:rsid w:val="217D5F95"/>
    <w:rsid w:val="217E3435"/>
    <w:rsid w:val="21800D35"/>
    <w:rsid w:val="21814754"/>
    <w:rsid w:val="21882A29"/>
    <w:rsid w:val="21895D56"/>
    <w:rsid w:val="218A4696"/>
    <w:rsid w:val="218B2F00"/>
    <w:rsid w:val="218D6F9B"/>
    <w:rsid w:val="21936A52"/>
    <w:rsid w:val="219F3768"/>
    <w:rsid w:val="21A07A56"/>
    <w:rsid w:val="21A44C18"/>
    <w:rsid w:val="21A66BB0"/>
    <w:rsid w:val="21A70519"/>
    <w:rsid w:val="21A80CBE"/>
    <w:rsid w:val="21AB7D35"/>
    <w:rsid w:val="21AD63B2"/>
    <w:rsid w:val="21B04A3B"/>
    <w:rsid w:val="21D05089"/>
    <w:rsid w:val="21D054F3"/>
    <w:rsid w:val="21D06385"/>
    <w:rsid w:val="21D43B5D"/>
    <w:rsid w:val="21DA2518"/>
    <w:rsid w:val="21DA57F5"/>
    <w:rsid w:val="21DE2C5F"/>
    <w:rsid w:val="21E27423"/>
    <w:rsid w:val="21E7687B"/>
    <w:rsid w:val="21E92B37"/>
    <w:rsid w:val="21EE3B6B"/>
    <w:rsid w:val="21F0282F"/>
    <w:rsid w:val="21F02CA0"/>
    <w:rsid w:val="21FA3799"/>
    <w:rsid w:val="22010AA5"/>
    <w:rsid w:val="22072AD1"/>
    <w:rsid w:val="22097472"/>
    <w:rsid w:val="220E4E65"/>
    <w:rsid w:val="220E6D9E"/>
    <w:rsid w:val="2211744D"/>
    <w:rsid w:val="22153930"/>
    <w:rsid w:val="22207047"/>
    <w:rsid w:val="22207503"/>
    <w:rsid w:val="22237B92"/>
    <w:rsid w:val="22250AF2"/>
    <w:rsid w:val="222A2C64"/>
    <w:rsid w:val="223012F0"/>
    <w:rsid w:val="223838C1"/>
    <w:rsid w:val="22421C9D"/>
    <w:rsid w:val="22442DAD"/>
    <w:rsid w:val="22466CFC"/>
    <w:rsid w:val="22466F96"/>
    <w:rsid w:val="22467A71"/>
    <w:rsid w:val="22561367"/>
    <w:rsid w:val="2256756B"/>
    <w:rsid w:val="225E6BF1"/>
    <w:rsid w:val="22616AF3"/>
    <w:rsid w:val="22673BCB"/>
    <w:rsid w:val="22770F47"/>
    <w:rsid w:val="22826E1D"/>
    <w:rsid w:val="22846BEE"/>
    <w:rsid w:val="228F506F"/>
    <w:rsid w:val="229F5FF3"/>
    <w:rsid w:val="22A07BDB"/>
    <w:rsid w:val="22A87F41"/>
    <w:rsid w:val="22AE50AB"/>
    <w:rsid w:val="22AF22A0"/>
    <w:rsid w:val="22AF6AFE"/>
    <w:rsid w:val="22AF6CB6"/>
    <w:rsid w:val="22B021F1"/>
    <w:rsid w:val="22B26292"/>
    <w:rsid w:val="22BB05B1"/>
    <w:rsid w:val="22BE7F75"/>
    <w:rsid w:val="22D16551"/>
    <w:rsid w:val="22D210C4"/>
    <w:rsid w:val="22DE4EEF"/>
    <w:rsid w:val="22ED6B3B"/>
    <w:rsid w:val="22FC1F2E"/>
    <w:rsid w:val="22FC2AF1"/>
    <w:rsid w:val="22FF7EBF"/>
    <w:rsid w:val="23023C93"/>
    <w:rsid w:val="23037BBF"/>
    <w:rsid w:val="230752D9"/>
    <w:rsid w:val="230D1D10"/>
    <w:rsid w:val="230F2CE0"/>
    <w:rsid w:val="230F2E5F"/>
    <w:rsid w:val="23102595"/>
    <w:rsid w:val="23151018"/>
    <w:rsid w:val="23182AA3"/>
    <w:rsid w:val="231D4640"/>
    <w:rsid w:val="231D584B"/>
    <w:rsid w:val="231F6AD0"/>
    <w:rsid w:val="23291C4E"/>
    <w:rsid w:val="232A1E4C"/>
    <w:rsid w:val="23311049"/>
    <w:rsid w:val="23356F74"/>
    <w:rsid w:val="23387363"/>
    <w:rsid w:val="23396CC9"/>
    <w:rsid w:val="233974D4"/>
    <w:rsid w:val="233A4500"/>
    <w:rsid w:val="233B58C7"/>
    <w:rsid w:val="233F6084"/>
    <w:rsid w:val="2341593D"/>
    <w:rsid w:val="234552F6"/>
    <w:rsid w:val="23477FAB"/>
    <w:rsid w:val="23511969"/>
    <w:rsid w:val="235225DF"/>
    <w:rsid w:val="23541E61"/>
    <w:rsid w:val="23556FAB"/>
    <w:rsid w:val="2358620C"/>
    <w:rsid w:val="235B1B6D"/>
    <w:rsid w:val="23653932"/>
    <w:rsid w:val="2367250E"/>
    <w:rsid w:val="2368791E"/>
    <w:rsid w:val="236E4141"/>
    <w:rsid w:val="236E7CA5"/>
    <w:rsid w:val="2374327B"/>
    <w:rsid w:val="237437B9"/>
    <w:rsid w:val="238121C0"/>
    <w:rsid w:val="238303E1"/>
    <w:rsid w:val="23862BF6"/>
    <w:rsid w:val="238B077E"/>
    <w:rsid w:val="238B0E89"/>
    <w:rsid w:val="238F362B"/>
    <w:rsid w:val="23913FAA"/>
    <w:rsid w:val="23932D4D"/>
    <w:rsid w:val="23955722"/>
    <w:rsid w:val="239832D9"/>
    <w:rsid w:val="239E017A"/>
    <w:rsid w:val="23A0194E"/>
    <w:rsid w:val="23A870BE"/>
    <w:rsid w:val="23A9479A"/>
    <w:rsid w:val="23A959A2"/>
    <w:rsid w:val="23AA01AD"/>
    <w:rsid w:val="23BA309C"/>
    <w:rsid w:val="23BE2203"/>
    <w:rsid w:val="23BE7205"/>
    <w:rsid w:val="23CB24D3"/>
    <w:rsid w:val="23CE0BDC"/>
    <w:rsid w:val="23CF10A7"/>
    <w:rsid w:val="23CF1D90"/>
    <w:rsid w:val="23CF7741"/>
    <w:rsid w:val="23D02F21"/>
    <w:rsid w:val="23D22098"/>
    <w:rsid w:val="23D626E0"/>
    <w:rsid w:val="23DE7188"/>
    <w:rsid w:val="23E03C0A"/>
    <w:rsid w:val="23E3452A"/>
    <w:rsid w:val="23E452CD"/>
    <w:rsid w:val="23F33879"/>
    <w:rsid w:val="23F5776F"/>
    <w:rsid w:val="23F92BC4"/>
    <w:rsid w:val="23FB1A29"/>
    <w:rsid w:val="2401470D"/>
    <w:rsid w:val="240F2211"/>
    <w:rsid w:val="2411343C"/>
    <w:rsid w:val="24151E43"/>
    <w:rsid w:val="241A3A6D"/>
    <w:rsid w:val="241B28B1"/>
    <w:rsid w:val="241E12E9"/>
    <w:rsid w:val="242001D4"/>
    <w:rsid w:val="2424739B"/>
    <w:rsid w:val="242A5C2C"/>
    <w:rsid w:val="243275EE"/>
    <w:rsid w:val="243A5F62"/>
    <w:rsid w:val="243C6BBE"/>
    <w:rsid w:val="244376F6"/>
    <w:rsid w:val="24486878"/>
    <w:rsid w:val="244D6D81"/>
    <w:rsid w:val="24505B53"/>
    <w:rsid w:val="24530430"/>
    <w:rsid w:val="245527F4"/>
    <w:rsid w:val="24591D54"/>
    <w:rsid w:val="24597AEF"/>
    <w:rsid w:val="24637946"/>
    <w:rsid w:val="246C374B"/>
    <w:rsid w:val="24733BDD"/>
    <w:rsid w:val="24745115"/>
    <w:rsid w:val="247461F6"/>
    <w:rsid w:val="24804DEF"/>
    <w:rsid w:val="248A5ABB"/>
    <w:rsid w:val="248C4A0E"/>
    <w:rsid w:val="2491398A"/>
    <w:rsid w:val="24967261"/>
    <w:rsid w:val="24974E84"/>
    <w:rsid w:val="24A91F98"/>
    <w:rsid w:val="24AA3B4B"/>
    <w:rsid w:val="24AC5404"/>
    <w:rsid w:val="24C12635"/>
    <w:rsid w:val="24C42A45"/>
    <w:rsid w:val="24C818E6"/>
    <w:rsid w:val="24D66CE2"/>
    <w:rsid w:val="24D939E3"/>
    <w:rsid w:val="24DC7ADC"/>
    <w:rsid w:val="24DC7C7A"/>
    <w:rsid w:val="24F410EB"/>
    <w:rsid w:val="24FA054D"/>
    <w:rsid w:val="24FB20AC"/>
    <w:rsid w:val="25005CC9"/>
    <w:rsid w:val="25063415"/>
    <w:rsid w:val="2508312E"/>
    <w:rsid w:val="25090B04"/>
    <w:rsid w:val="250D4341"/>
    <w:rsid w:val="25111A22"/>
    <w:rsid w:val="25132C5F"/>
    <w:rsid w:val="251A00D5"/>
    <w:rsid w:val="251D48BF"/>
    <w:rsid w:val="2529499B"/>
    <w:rsid w:val="252A767A"/>
    <w:rsid w:val="252D5A47"/>
    <w:rsid w:val="253179E9"/>
    <w:rsid w:val="25321BD9"/>
    <w:rsid w:val="2533554D"/>
    <w:rsid w:val="25351D55"/>
    <w:rsid w:val="254A5EB1"/>
    <w:rsid w:val="254C3FBB"/>
    <w:rsid w:val="25563F0F"/>
    <w:rsid w:val="255743C5"/>
    <w:rsid w:val="255D2168"/>
    <w:rsid w:val="25615841"/>
    <w:rsid w:val="256204C6"/>
    <w:rsid w:val="25737773"/>
    <w:rsid w:val="257604F1"/>
    <w:rsid w:val="2576140C"/>
    <w:rsid w:val="258048ED"/>
    <w:rsid w:val="258310E5"/>
    <w:rsid w:val="258D3D1D"/>
    <w:rsid w:val="258E3E63"/>
    <w:rsid w:val="258F6131"/>
    <w:rsid w:val="259107D7"/>
    <w:rsid w:val="25930E56"/>
    <w:rsid w:val="25991019"/>
    <w:rsid w:val="25A073CB"/>
    <w:rsid w:val="25A811A4"/>
    <w:rsid w:val="25AC4BC0"/>
    <w:rsid w:val="25B429C8"/>
    <w:rsid w:val="25B442A6"/>
    <w:rsid w:val="25CE0829"/>
    <w:rsid w:val="25D4591D"/>
    <w:rsid w:val="25D80F92"/>
    <w:rsid w:val="25DA28C1"/>
    <w:rsid w:val="25E447F2"/>
    <w:rsid w:val="25E74D23"/>
    <w:rsid w:val="25F14F30"/>
    <w:rsid w:val="25FD3BED"/>
    <w:rsid w:val="25FD450E"/>
    <w:rsid w:val="260F232D"/>
    <w:rsid w:val="260F5D8C"/>
    <w:rsid w:val="26126447"/>
    <w:rsid w:val="26164D26"/>
    <w:rsid w:val="26212B22"/>
    <w:rsid w:val="26256FE1"/>
    <w:rsid w:val="262A2932"/>
    <w:rsid w:val="262C44C3"/>
    <w:rsid w:val="26317304"/>
    <w:rsid w:val="263757F7"/>
    <w:rsid w:val="2639588D"/>
    <w:rsid w:val="263A398D"/>
    <w:rsid w:val="263B2FB0"/>
    <w:rsid w:val="263B4DB9"/>
    <w:rsid w:val="263F5DA8"/>
    <w:rsid w:val="26451C19"/>
    <w:rsid w:val="264B18DA"/>
    <w:rsid w:val="264C29AD"/>
    <w:rsid w:val="26534F4B"/>
    <w:rsid w:val="265B25EC"/>
    <w:rsid w:val="265F0D50"/>
    <w:rsid w:val="265F2B32"/>
    <w:rsid w:val="266C0414"/>
    <w:rsid w:val="266E737F"/>
    <w:rsid w:val="26775D05"/>
    <w:rsid w:val="267878D1"/>
    <w:rsid w:val="26902AC0"/>
    <w:rsid w:val="26922A05"/>
    <w:rsid w:val="26957ACC"/>
    <w:rsid w:val="269D39E9"/>
    <w:rsid w:val="269D6732"/>
    <w:rsid w:val="26AF7E55"/>
    <w:rsid w:val="26B95CFA"/>
    <w:rsid w:val="26C30882"/>
    <w:rsid w:val="26CB22D7"/>
    <w:rsid w:val="26D17030"/>
    <w:rsid w:val="26D87C8A"/>
    <w:rsid w:val="26E14982"/>
    <w:rsid w:val="26E20A59"/>
    <w:rsid w:val="26E6579E"/>
    <w:rsid w:val="26EB38FC"/>
    <w:rsid w:val="26ED7B45"/>
    <w:rsid w:val="26EE2BD7"/>
    <w:rsid w:val="26EE5008"/>
    <w:rsid w:val="26F32EFA"/>
    <w:rsid w:val="26F67CE9"/>
    <w:rsid w:val="26F7797C"/>
    <w:rsid w:val="27010F79"/>
    <w:rsid w:val="27023930"/>
    <w:rsid w:val="270D0B31"/>
    <w:rsid w:val="27144E47"/>
    <w:rsid w:val="27146DB1"/>
    <w:rsid w:val="271733DF"/>
    <w:rsid w:val="27242D5E"/>
    <w:rsid w:val="272625A9"/>
    <w:rsid w:val="2726481D"/>
    <w:rsid w:val="272B71E4"/>
    <w:rsid w:val="27391AFC"/>
    <w:rsid w:val="274120C9"/>
    <w:rsid w:val="27447082"/>
    <w:rsid w:val="2746228C"/>
    <w:rsid w:val="274B7E06"/>
    <w:rsid w:val="27586610"/>
    <w:rsid w:val="276152EA"/>
    <w:rsid w:val="27635C65"/>
    <w:rsid w:val="27670961"/>
    <w:rsid w:val="276D1E74"/>
    <w:rsid w:val="2775533D"/>
    <w:rsid w:val="27757196"/>
    <w:rsid w:val="2779100C"/>
    <w:rsid w:val="27810B0E"/>
    <w:rsid w:val="2784177D"/>
    <w:rsid w:val="278C1B32"/>
    <w:rsid w:val="278D6010"/>
    <w:rsid w:val="27915065"/>
    <w:rsid w:val="279259CB"/>
    <w:rsid w:val="27967C74"/>
    <w:rsid w:val="27986432"/>
    <w:rsid w:val="279C5F4B"/>
    <w:rsid w:val="279F66E7"/>
    <w:rsid w:val="27A27DB4"/>
    <w:rsid w:val="27AB5FCB"/>
    <w:rsid w:val="27C47C8B"/>
    <w:rsid w:val="27C66322"/>
    <w:rsid w:val="27C95203"/>
    <w:rsid w:val="27CD6E10"/>
    <w:rsid w:val="27D428C5"/>
    <w:rsid w:val="27D6191F"/>
    <w:rsid w:val="27D91111"/>
    <w:rsid w:val="27E172E8"/>
    <w:rsid w:val="27E42A38"/>
    <w:rsid w:val="27E43DAB"/>
    <w:rsid w:val="27E67750"/>
    <w:rsid w:val="27E74E37"/>
    <w:rsid w:val="27E849C0"/>
    <w:rsid w:val="27EC121F"/>
    <w:rsid w:val="27EE1CD2"/>
    <w:rsid w:val="2805509F"/>
    <w:rsid w:val="28092C88"/>
    <w:rsid w:val="280F6788"/>
    <w:rsid w:val="28152353"/>
    <w:rsid w:val="28190F29"/>
    <w:rsid w:val="281B2A0C"/>
    <w:rsid w:val="281F4115"/>
    <w:rsid w:val="28204078"/>
    <w:rsid w:val="282216EE"/>
    <w:rsid w:val="28296312"/>
    <w:rsid w:val="282B2B54"/>
    <w:rsid w:val="282F0007"/>
    <w:rsid w:val="283214F2"/>
    <w:rsid w:val="2834619E"/>
    <w:rsid w:val="28386DC6"/>
    <w:rsid w:val="28395C89"/>
    <w:rsid w:val="283F7859"/>
    <w:rsid w:val="284149DF"/>
    <w:rsid w:val="2841638F"/>
    <w:rsid w:val="284A451D"/>
    <w:rsid w:val="284B7FB6"/>
    <w:rsid w:val="28503AD0"/>
    <w:rsid w:val="2855725B"/>
    <w:rsid w:val="28591E68"/>
    <w:rsid w:val="2859394E"/>
    <w:rsid w:val="28612B31"/>
    <w:rsid w:val="286B6E54"/>
    <w:rsid w:val="286F2666"/>
    <w:rsid w:val="28740D50"/>
    <w:rsid w:val="287564D8"/>
    <w:rsid w:val="28772FF0"/>
    <w:rsid w:val="2879046D"/>
    <w:rsid w:val="28804C9A"/>
    <w:rsid w:val="2881307E"/>
    <w:rsid w:val="288472E7"/>
    <w:rsid w:val="28900B2B"/>
    <w:rsid w:val="28927A00"/>
    <w:rsid w:val="28951116"/>
    <w:rsid w:val="289A1884"/>
    <w:rsid w:val="28A61E40"/>
    <w:rsid w:val="28A87096"/>
    <w:rsid w:val="28A940DD"/>
    <w:rsid w:val="28AA3620"/>
    <w:rsid w:val="28C342F1"/>
    <w:rsid w:val="28C502A0"/>
    <w:rsid w:val="28C9546C"/>
    <w:rsid w:val="28DF167C"/>
    <w:rsid w:val="28E00A33"/>
    <w:rsid w:val="28E15B01"/>
    <w:rsid w:val="28E241C3"/>
    <w:rsid w:val="28E47E7C"/>
    <w:rsid w:val="28F20E47"/>
    <w:rsid w:val="28F717F0"/>
    <w:rsid w:val="28F84B43"/>
    <w:rsid w:val="28FA6557"/>
    <w:rsid w:val="28FB0C59"/>
    <w:rsid w:val="28FE0A3F"/>
    <w:rsid w:val="29007C59"/>
    <w:rsid w:val="290972D6"/>
    <w:rsid w:val="290D2560"/>
    <w:rsid w:val="290E5525"/>
    <w:rsid w:val="290E5B06"/>
    <w:rsid w:val="2915456A"/>
    <w:rsid w:val="291B3CA0"/>
    <w:rsid w:val="2924708C"/>
    <w:rsid w:val="2930076B"/>
    <w:rsid w:val="293164A9"/>
    <w:rsid w:val="2931682A"/>
    <w:rsid w:val="293B4DFC"/>
    <w:rsid w:val="293B6864"/>
    <w:rsid w:val="294068A5"/>
    <w:rsid w:val="29475D1B"/>
    <w:rsid w:val="294A0A19"/>
    <w:rsid w:val="294A7634"/>
    <w:rsid w:val="294C311B"/>
    <w:rsid w:val="29577532"/>
    <w:rsid w:val="295E3E33"/>
    <w:rsid w:val="29616CA2"/>
    <w:rsid w:val="2963536F"/>
    <w:rsid w:val="29641C74"/>
    <w:rsid w:val="296840EB"/>
    <w:rsid w:val="296C086B"/>
    <w:rsid w:val="29706C1D"/>
    <w:rsid w:val="298271A6"/>
    <w:rsid w:val="29851299"/>
    <w:rsid w:val="298922BE"/>
    <w:rsid w:val="298D00AE"/>
    <w:rsid w:val="29981B1A"/>
    <w:rsid w:val="299C255D"/>
    <w:rsid w:val="299E3C75"/>
    <w:rsid w:val="29A2779F"/>
    <w:rsid w:val="29A55561"/>
    <w:rsid w:val="29AC460E"/>
    <w:rsid w:val="29AE6428"/>
    <w:rsid w:val="29AF46D5"/>
    <w:rsid w:val="29B14018"/>
    <w:rsid w:val="29B279D0"/>
    <w:rsid w:val="29B30701"/>
    <w:rsid w:val="29B54186"/>
    <w:rsid w:val="29B77105"/>
    <w:rsid w:val="29BE4189"/>
    <w:rsid w:val="29C25C35"/>
    <w:rsid w:val="29C45637"/>
    <w:rsid w:val="29C808C2"/>
    <w:rsid w:val="29CB31AC"/>
    <w:rsid w:val="29D65FCA"/>
    <w:rsid w:val="29D96CCD"/>
    <w:rsid w:val="29DC0639"/>
    <w:rsid w:val="29E351B3"/>
    <w:rsid w:val="29E62D6D"/>
    <w:rsid w:val="29E677E5"/>
    <w:rsid w:val="29E83BBF"/>
    <w:rsid w:val="29E9271A"/>
    <w:rsid w:val="29F0569B"/>
    <w:rsid w:val="2A057965"/>
    <w:rsid w:val="2A0729F9"/>
    <w:rsid w:val="2A0B1ED1"/>
    <w:rsid w:val="2A0E06C7"/>
    <w:rsid w:val="2A0E5A0C"/>
    <w:rsid w:val="2A105CC8"/>
    <w:rsid w:val="2A1C6530"/>
    <w:rsid w:val="2A1D7A75"/>
    <w:rsid w:val="2A1F0273"/>
    <w:rsid w:val="2A1F3891"/>
    <w:rsid w:val="2A200F6D"/>
    <w:rsid w:val="2A260B42"/>
    <w:rsid w:val="2A271DD3"/>
    <w:rsid w:val="2A2C0489"/>
    <w:rsid w:val="2A2D533F"/>
    <w:rsid w:val="2A332965"/>
    <w:rsid w:val="2A38094A"/>
    <w:rsid w:val="2A39259F"/>
    <w:rsid w:val="2A396426"/>
    <w:rsid w:val="2A3B69C5"/>
    <w:rsid w:val="2A3E7E6C"/>
    <w:rsid w:val="2A3F5E4E"/>
    <w:rsid w:val="2A4342CF"/>
    <w:rsid w:val="2A445B7C"/>
    <w:rsid w:val="2A4D5F9E"/>
    <w:rsid w:val="2A540AE5"/>
    <w:rsid w:val="2A5507F6"/>
    <w:rsid w:val="2A5916BA"/>
    <w:rsid w:val="2A647A5C"/>
    <w:rsid w:val="2A68387A"/>
    <w:rsid w:val="2A6B78B0"/>
    <w:rsid w:val="2A6C1203"/>
    <w:rsid w:val="2A702AAD"/>
    <w:rsid w:val="2A731D81"/>
    <w:rsid w:val="2A7E72CF"/>
    <w:rsid w:val="2A8131CA"/>
    <w:rsid w:val="2A8571F3"/>
    <w:rsid w:val="2A8970CA"/>
    <w:rsid w:val="2A8B54A6"/>
    <w:rsid w:val="2A9141F0"/>
    <w:rsid w:val="2A9226E6"/>
    <w:rsid w:val="2A99086A"/>
    <w:rsid w:val="2A9B2FF6"/>
    <w:rsid w:val="2AAA3342"/>
    <w:rsid w:val="2AAB4E75"/>
    <w:rsid w:val="2AAF00F2"/>
    <w:rsid w:val="2ABB1B8F"/>
    <w:rsid w:val="2AC32A0C"/>
    <w:rsid w:val="2AC465FE"/>
    <w:rsid w:val="2AC7151F"/>
    <w:rsid w:val="2ACF4BB0"/>
    <w:rsid w:val="2AE00F22"/>
    <w:rsid w:val="2AED423B"/>
    <w:rsid w:val="2AED7693"/>
    <w:rsid w:val="2AF00852"/>
    <w:rsid w:val="2AF131A3"/>
    <w:rsid w:val="2AF54989"/>
    <w:rsid w:val="2AF73148"/>
    <w:rsid w:val="2AFA75CC"/>
    <w:rsid w:val="2B097F16"/>
    <w:rsid w:val="2B102214"/>
    <w:rsid w:val="2B12611D"/>
    <w:rsid w:val="2B2121BB"/>
    <w:rsid w:val="2B232DDA"/>
    <w:rsid w:val="2B24650C"/>
    <w:rsid w:val="2B2876A4"/>
    <w:rsid w:val="2B2A0327"/>
    <w:rsid w:val="2B2A7324"/>
    <w:rsid w:val="2B2D1061"/>
    <w:rsid w:val="2B2D33D9"/>
    <w:rsid w:val="2B305A68"/>
    <w:rsid w:val="2B3136FF"/>
    <w:rsid w:val="2B320F6B"/>
    <w:rsid w:val="2B3C7276"/>
    <w:rsid w:val="2B41632F"/>
    <w:rsid w:val="2B425D22"/>
    <w:rsid w:val="2B45361F"/>
    <w:rsid w:val="2B583A41"/>
    <w:rsid w:val="2B5D7B0A"/>
    <w:rsid w:val="2B694CC0"/>
    <w:rsid w:val="2B6D493A"/>
    <w:rsid w:val="2B6D69EF"/>
    <w:rsid w:val="2B6E7D1B"/>
    <w:rsid w:val="2B790236"/>
    <w:rsid w:val="2B7A655E"/>
    <w:rsid w:val="2B804B37"/>
    <w:rsid w:val="2B8F35CD"/>
    <w:rsid w:val="2B9342DF"/>
    <w:rsid w:val="2B940B03"/>
    <w:rsid w:val="2B99474D"/>
    <w:rsid w:val="2B9F2A62"/>
    <w:rsid w:val="2BAB4430"/>
    <w:rsid w:val="2BB51D06"/>
    <w:rsid w:val="2BBB0C64"/>
    <w:rsid w:val="2BBB4471"/>
    <w:rsid w:val="2BBE2779"/>
    <w:rsid w:val="2BC26685"/>
    <w:rsid w:val="2BCD50E4"/>
    <w:rsid w:val="2BD24B40"/>
    <w:rsid w:val="2BD2573B"/>
    <w:rsid w:val="2BDE1074"/>
    <w:rsid w:val="2BE529A3"/>
    <w:rsid w:val="2BE61E09"/>
    <w:rsid w:val="2BEE0C8D"/>
    <w:rsid w:val="2BF16EB6"/>
    <w:rsid w:val="2BF306D7"/>
    <w:rsid w:val="2BF61EEE"/>
    <w:rsid w:val="2BF64051"/>
    <w:rsid w:val="2BF6562A"/>
    <w:rsid w:val="2BF76A73"/>
    <w:rsid w:val="2C034081"/>
    <w:rsid w:val="2C0466BD"/>
    <w:rsid w:val="2C101762"/>
    <w:rsid w:val="2C147361"/>
    <w:rsid w:val="2C1752E5"/>
    <w:rsid w:val="2C2106A7"/>
    <w:rsid w:val="2C280BBC"/>
    <w:rsid w:val="2C291503"/>
    <w:rsid w:val="2C2956F9"/>
    <w:rsid w:val="2C2B7B76"/>
    <w:rsid w:val="2C305DB8"/>
    <w:rsid w:val="2C314231"/>
    <w:rsid w:val="2C320426"/>
    <w:rsid w:val="2C341A92"/>
    <w:rsid w:val="2C3C6B6A"/>
    <w:rsid w:val="2C4976A0"/>
    <w:rsid w:val="2C4A1D3E"/>
    <w:rsid w:val="2C4C53A8"/>
    <w:rsid w:val="2C540F03"/>
    <w:rsid w:val="2C580EF3"/>
    <w:rsid w:val="2C644B11"/>
    <w:rsid w:val="2C6D2B2C"/>
    <w:rsid w:val="2C6D6414"/>
    <w:rsid w:val="2C6F4994"/>
    <w:rsid w:val="2C713717"/>
    <w:rsid w:val="2C743452"/>
    <w:rsid w:val="2C7C58A8"/>
    <w:rsid w:val="2C7E4B24"/>
    <w:rsid w:val="2C7F3BEA"/>
    <w:rsid w:val="2C866019"/>
    <w:rsid w:val="2C885EFB"/>
    <w:rsid w:val="2C8B2277"/>
    <w:rsid w:val="2C9018A0"/>
    <w:rsid w:val="2C9269C5"/>
    <w:rsid w:val="2C9E0921"/>
    <w:rsid w:val="2C9F0023"/>
    <w:rsid w:val="2CA06BC3"/>
    <w:rsid w:val="2CA21756"/>
    <w:rsid w:val="2CA344A5"/>
    <w:rsid w:val="2CAA2540"/>
    <w:rsid w:val="2CAA3EF1"/>
    <w:rsid w:val="2CAC4FAE"/>
    <w:rsid w:val="2CAF529A"/>
    <w:rsid w:val="2CB4245C"/>
    <w:rsid w:val="2CC035B4"/>
    <w:rsid w:val="2CDB0915"/>
    <w:rsid w:val="2CDE35C8"/>
    <w:rsid w:val="2CE32C51"/>
    <w:rsid w:val="2CE85F2E"/>
    <w:rsid w:val="2CEB3893"/>
    <w:rsid w:val="2CEC23F2"/>
    <w:rsid w:val="2CF3705A"/>
    <w:rsid w:val="2CF67E2E"/>
    <w:rsid w:val="2CFA59E5"/>
    <w:rsid w:val="2CFB4940"/>
    <w:rsid w:val="2CFB6671"/>
    <w:rsid w:val="2CFD56CC"/>
    <w:rsid w:val="2D0124C0"/>
    <w:rsid w:val="2D04577F"/>
    <w:rsid w:val="2D07144B"/>
    <w:rsid w:val="2D073818"/>
    <w:rsid w:val="2D0B03A0"/>
    <w:rsid w:val="2D240CF0"/>
    <w:rsid w:val="2D300182"/>
    <w:rsid w:val="2D3270CF"/>
    <w:rsid w:val="2D336A9B"/>
    <w:rsid w:val="2D342CBA"/>
    <w:rsid w:val="2D372D10"/>
    <w:rsid w:val="2D390BED"/>
    <w:rsid w:val="2D3954F8"/>
    <w:rsid w:val="2D3C00C6"/>
    <w:rsid w:val="2D4861A9"/>
    <w:rsid w:val="2D5D6265"/>
    <w:rsid w:val="2D5E4A19"/>
    <w:rsid w:val="2D716074"/>
    <w:rsid w:val="2D7E0578"/>
    <w:rsid w:val="2D896F0D"/>
    <w:rsid w:val="2D8B1F97"/>
    <w:rsid w:val="2D8B3F4D"/>
    <w:rsid w:val="2D8D10E0"/>
    <w:rsid w:val="2D9350B7"/>
    <w:rsid w:val="2D954190"/>
    <w:rsid w:val="2D9A66B8"/>
    <w:rsid w:val="2DA03B6E"/>
    <w:rsid w:val="2DA655DC"/>
    <w:rsid w:val="2DAD1778"/>
    <w:rsid w:val="2DAD7C01"/>
    <w:rsid w:val="2DB31111"/>
    <w:rsid w:val="2DBA0595"/>
    <w:rsid w:val="2DC134C6"/>
    <w:rsid w:val="2DC56D26"/>
    <w:rsid w:val="2DC67A2D"/>
    <w:rsid w:val="2DC72806"/>
    <w:rsid w:val="2DC9463F"/>
    <w:rsid w:val="2DC96212"/>
    <w:rsid w:val="2DCE1F5E"/>
    <w:rsid w:val="2DDC0B49"/>
    <w:rsid w:val="2DDF56D8"/>
    <w:rsid w:val="2DE24326"/>
    <w:rsid w:val="2DE94139"/>
    <w:rsid w:val="2DEE21C8"/>
    <w:rsid w:val="2DF34E5A"/>
    <w:rsid w:val="2DF61E42"/>
    <w:rsid w:val="2DFD0D7F"/>
    <w:rsid w:val="2E026219"/>
    <w:rsid w:val="2E052D87"/>
    <w:rsid w:val="2E0721B4"/>
    <w:rsid w:val="2E1A149A"/>
    <w:rsid w:val="2E1C4FED"/>
    <w:rsid w:val="2E2F059E"/>
    <w:rsid w:val="2E3012F1"/>
    <w:rsid w:val="2E31347D"/>
    <w:rsid w:val="2E402DEC"/>
    <w:rsid w:val="2E413F3A"/>
    <w:rsid w:val="2E416F59"/>
    <w:rsid w:val="2E47062E"/>
    <w:rsid w:val="2E4D5034"/>
    <w:rsid w:val="2E53382E"/>
    <w:rsid w:val="2E5632A2"/>
    <w:rsid w:val="2E627EA9"/>
    <w:rsid w:val="2E633722"/>
    <w:rsid w:val="2E7201D9"/>
    <w:rsid w:val="2E7268A8"/>
    <w:rsid w:val="2E743FF4"/>
    <w:rsid w:val="2E7633B5"/>
    <w:rsid w:val="2E8121E2"/>
    <w:rsid w:val="2E812FD4"/>
    <w:rsid w:val="2E817BF1"/>
    <w:rsid w:val="2E830A39"/>
    <w:rsid w:val="2E8352E5"/>
    <w:rsid w:val="2E836A59"/>
    <w:rsid w:val="2E8D5027"/>
    <w:rsid w:val="2E922BF6"/>
    <w:rsid w:val="2E99382A"/>
    <w:rsid w:val="2EA20865"/>
    <w:rsid w:val="2EAF5B6A"/>
    <w:rsid w:val="2EB031D0"/>
    <w:rsid w:val="2EBA1D2B"/>
    <w:rsid w:val="2EC57342"/>
    <w:rsid w:val="2EC61CF0"/>
    <w:rsid w:val="2ECA6A60"/>
    <w:rsid w:val="2ECC3CD5"/>
    <w:rsid w:val="2EDA69E0"/>
    <w:rsid w:val="2EE26262"/>
    <w:rsid w:val="2EE87E46"/>
    <w:rsid w:val="2EEA1448"/>
    <w:rsid w:val="2EEB034A"/>
    <w:rsid w:val="2EF1550C"/>
    <w:rsid w:val="2EF20405"/>
    <w:rsid w:val="2F0B6BF7"/>
    <w:rsid w:val="2F0C7907"/>
    <w:rsid w:val="2F167C0D"/>
    <w:rsid w:val="2F1E194B"/>
    <w:rsid w:val="2F251E06"/>
    <w:rsid w:val="2F29376C"/>
    <w:rsid w:val="2F306EF6"/>
    <w:rsid w:val="2F320512"/>
    <w:rsid w:val="2F33105F"/>
    <w:rsid w:val="2F3556D6"/>
    <w:rsid w:val="2F435021"/>
    <w:rsid w:val="2F4553D4"/>
    <w:rsid w:val="2F4E2FA9"/>
    <w:rsid w:val="2F5D4C44"/>
    <w:rsid w:val="2F604E5A"/>
    <w:rsid w:val="2F6D0AC9"/>
    <w:rsid w:val="2F7B515A"/>
    <w:rsid w:val="2F7C02D1"/>
    <w:rsid w:val="2F82774F"/>
    <w:rsid w:val="2F894243"/>
    <w:rsid w:val="2F9049A2"/>
    <w:rsid w:val="2F907A2A"/>
    <w:rsid w:val="2F914B2E"/>
    <w:rsid w:val="2F941BFC"/>
    <w:rsid w:val="2F950972"/>
    <w:rsid w:val="2F9B0E2F"/>
    <w:rsid w:val="2FA50066"/>
    <w:rsid w:val="2FAB6261"/>
    <w:rsid w:val="2FAC7BB2"/>
    <w:rsid w:val="2FAC7D43"/>
    <w:rsid w:val="2FAF790C"/>
    <w:rsid w:val="2FB70AC8"/>
    <w:rsid w:val="2FBF0186"/>
    <w:rsid w:val="2FC14297"/>
    <w:rsid w:val="2FC33AF1"/>
    <w:rsid w:val="2FC66873"/>
    <w:rsid w:val="2FCF333A"/>
    <w:rsid w:val="2FD35868"/>
    <w:rsid w:val="2FDF4EB3"/>
    <w:rsid w:val="2FE117AA"/>
    <w:rsid w:val="2FE816D4"/>
    <w:rsid w:val="2FE83E8B"/>
    <w:rsid w:val="2FEA114E"/>
    <w:rsid w:val="2FF355E8"/>
    <w:rsid w:val="2FFA1E70"/>
    <w:rsid w:val="2FFA6337"/>
    <w:rsid w:val="30015E65"/>
    <w:rsid w:val="30050569"/>
    <w:rsid w:val="30071318"/>
    <w:rsid w:val="301517A3"/>
    <w:rsid w:val="30182B0E"/>
    <w:rsid w:val="302B7544"/>
    <w:rsid w:val="3030127E"/>
    <w:rsid w:val="303243B8"/>
    <w:rsid w:val="30361315"/>
    <w:rsid w:val="303F4DB2"/>
    <w:rsid w:val="304678FC"/>
    <w:rsid w:val="304A304F"/>
    <w:rsid w:val="30597B4B"/>
    <w:rsid w:val="305A503A"/>
    <w:rsid w:val="306A5A3A"/>
    <w:rsid w:val="306A7962"/>
    <w:rsid w:val="306B169A"/>
    <w:rsid w:val="308252CE"/>
    <w:rsid w:val="30857418"/>
    <w:rsid w:val="30885200"/>
    <w:rsid w:val="30900A3E"/>
    <w:rsid w:val="30A00AF7"/>
    <w:rsid w:val="30A54C0C"/>
    <w:rsid w:val="30AB6A79"/>
    <w:rsid w:val="30AC15C5"/>
    <w:rsid w:val="30AF76EE"/>
    <w:rsid w:val="30B00EE3"/>
    <w:rsid w:val="30BC0F82"/>
    <w:rsid w:val="30BF5DAD"/>
    <w:rsid w:val="30C77663"/>
    <w:rsid w:val="30CA6CB4"/>
    <w:rsid w:val="30CB2886"/>
    <w:rsid w:val="30CC4A9F"/>
    <w:rsid w:val="30D20312"/>
    <w:rsid w:val="30D243BA"/>
    <w:rsid w:val="30D53BE2"/>
    <w:rsid w:val="30DA614B"/>
    <w:rsid w:val="30E50047"/>
    <w:rsid w:val="30E76148"/>
    <w:rsid w:val="30EC3CCF"/>
    <w:rsid w:val="30F506BC"/>
    <w:rsid w:val="30FA2135"/>
    <w:rsid w:val="30FC0E31"/>
    <w:rsid w:val="31072318"/>
    <w:rsid w:val="310824FC"/>
    <w:rsid w:val="31085EF2"/>
    <w:rsid w:val="310D6B7E"/>
    <w:rsid w:val="310E2F7D"/>
    <w:rsid w:val="3112061B"/>
    <w:rsid w:val="31145EF8"/>
    <w:rsid w:val="31184643"/>
    <w:rsid w:val="3119085E"/>
    <w:rsid w:val="3119131B"/>
    <w:rsid w:val="311A172A"/>
    <w:rsid w:val="311B6AE5"/>
    <w:rsid w:val="311D2F77"/>
    <w:rsid w:val="3124487C"/>
    <w:rsid w:val="312552A8"/>
    <w:rsid w:val="3127556A"/>
    <w:rsid w:val="312A7562"/>
    <w:rsid w:val="31305EFD"/>
    <w:rsid w:val="31366C5E"/>
    <w:rsid w:val="31414A5E"/>
    <w:rsid w:val="314345B3"/>
    <w:rsid w:val="31466DBB"/>
    <w:rsid w:val="314A2768"/>
    <w:rsid w:val="31594303"/>
    <w:rsid w:val="315E078B"/>
    <w:rsid w:val="315F16AB"/>
    <w:rsid w:val="31627191"/>
    <w:rsid w:val="3163546A"/>
    <w:rsid w:val="316377C9"/>
    <w:rsid w:val="31692562"/>
    <w:rsid w:val="316B1E3C"/>
    <w:rsid w:val="316B5F62"/>
    <w:rsid w:val="31717999"/>
    <w:rsid w:val="3173069D"/>
    <w:rsid w:val="3176574B"/>
    <w:rsid w:val="31770AE6"/>
    <w:rsid w:val="317C34A6"/>
    <w:rsid w:val="317F0BF9"/>
    <w:rsid w:val="318F60A1"/>
    <w:rsid w:val="319834D2"/>
    <w:rsid w:val="319B3416"/>
    <w:rsid w:val="319E117B"/>
    <w:rsid w:val="31A00E4C"/>
    <w:rsid w:val="31A457D8"/>
    <w:rsid w:val="31AC2E8B"/>
    <w:rsid w:val="31BF7136"/>
    <w:rsid w:val="31C0675C"/>
    <w:rsid w:val="31C13461"/>
    <w:rsid w:val="31C31EED"/>
    <w:rsid w:val="31C3612E"/>
    <w:rsid w:val="31D05EF6"/>
    <w:rsid w:val="31D93400"/>
    <w:rsid w:val="31DD68A5"/>
    <w:rsid w:val="31E03182"/>
    <w:rsid w:val="31E474AC"/>
    <w:rsid w:val="31ED5688"/>
    <w:rsid w:val="31F55E79"/>
    <w:rsid w:val="31FC2019"/>
    <w:rsid w:val="320D59B2"/>
    <w:rsid w:val="321F3CA6"/>
    <w:rsid w:val="32202989"/>
    <w:rsid w:val="32280244"/>
    <w:rsid w:val="322C09BA"/>
    <w:rsid w:val="32310688"/>
    <w:rsid w:val="32314773"/>
    <w:rsid w:val="323179FF"/>
    <w:rsid w:val="323264E4"/>
    <w:rsid w:val="3233597F"/>
    <w:rsid w:val="32363A45"/>
    <w:rsid w:val="32377D4E"/>
    <w:rsid w:val="323836F7"/>
    <w:rsid w:val="323A7A4F"/>
    <w:rsid w:val="323F75C4"/>
    <w:rsid w:val="3248067F"/>
    <w:rsid w:val="324C1E3D"/>
    <w:rsid w:val="3252202B"/>
    <w:rsid w:val="3252498F"/>
    <w:rsid w:val="32547C7F"/>
    <w:rsid w:val="32581A09"/>
    <w:rsid w:val="325D797E"/>
    <w:rsid w:val="326C674A"/>
    <w:rsid w:val="3273577F"/>
    <w:rsid w:val="327C185A"/>
    <w:rsid w:val="327E1AA9"/>
    <w:rsid w:val="328175E9"/>
    <w:rsid w:val="32844397"/>
    <w:rsid w:val="32925E9B"/>
    <w:rsid w:val="32946BE0"/>
    <w:rsid w:val="32967728"/>
    <w:rsid w:val="32987D80"/>
    <w:rsid w:val="329927F2"/>
    <w:rsid w:val="32A05A5E"/>
    <w:rsid w:val="32A6487B"/>
    <w:rsid w:val="32B4363D"/>
    <w:rsid w:val="32B56BD2"/>
    <w:rsid w:val="32B83901"/>
    <w:rsid w:val="32BD19CC"/>
    <w:rsid w:val="32BE766F"/>
    <w:rsid w:val="32BF3521"/>
    <w:rsid w:val="32CE5F36"/>
    <w:rsid w:val="32D47E2F"/>
    <w:rsid w:val="32D50B88"/>
    <w:rsid w:val="32D75DF9"/>
    <w:rsid w:val="32D85144"/>
    <w:rsid w:val="32DC3E3C"/>
    <w:rsid w:val="32DE4054"/>
    <w:rsid w:val="32DE6EC1"/>
    <w:rsid w:val="32E6242A"/>
    <w:rsid w:val="32E861A4"/>
    <w:rsid w:val="32ED4897"/>
    <w:rsid w:val="32F055F3"/>
    <w:rsid w:val="32F8172E"/>
    <w:rsid w:val="32F8351E"/>
    <w:rsid w:val="32FB63A9"/>
    <w:rsid w:val="32FB7785"/>
    <w:rsid w:val="32FC0551"/>
    <w:rsid w:val="32FC37D1"/>
    <w:rsid w:val="32FF118D"/>
    <w:rsid w:val="3305742D"/>
    <w:rsid w:val="33084815"/>
    <w:rsid w:val="330E29D0"/>
    <w:rsid w:val="33182CEB"/>
    <w:rsid w:val="331832B8"/>
    <w:rsid w:val="331D6A7E"/>
    <w:rsid w:val="331F145B"/>
    <w:rsid w:val="331F429A"/>
    <w:rsid w:val="332267E5"/>
    <w:rsid w:val="33343641"/>
    <w:rsid w:val="333C73E8"/>
    <w:rsid w:val="333F245E"/>
    <w:rsid w:val="334061BD"/>
    <w:rsid w:val="33477B41"/>
    <w:rsid w:val="33490398"/>
    <w:rsid w:val="334F6D3D"/>
    <w:rsid w:val="33522897"/>
    <w:rsid w:val="3354186D"/>
    <w:rsid w:val="335B0720"/>
    <w:rsid w:val="335B32EE"/>
    <w:rsid w:val="33693CB8"/>
    <w:rsid w:val="33781DE8"/>
    <w:rsid w:val="33836487"/>
    <w:rsid w:val="3384016F"/>
    <w:rsid w:val="33846BB5"/>
    <w:rsid w:val="3385073E"/>
    <w:rsid w:val="3398217C"/>
    <w:rsid w:val="339D48BD"/>
    <w:rsid w:val="339D536C"/>
    <w:rsid w:val="33A04041"/>
    <w:rsid w:val="33A673A6"/>
    <w:rsid w:val="33AF61DE"/>
    <w:rsid w:val="33B27BB8"/>
    <w:rsid w:val="33B3434B"/>
    <w:rsid w:val="33B5072A"/>
    <w:rsid w:val="33B51EB2"/>
    <w:rsid w:val="33BA00BE"/>
    <w:rsid w:val="33BE357D"/>
    <w:rsid w:val="33C84D09"/>
    <w:rsid w:val="33C850A1"/>
    <w:rsid w:val="33CD6DCE"/>
    <w:rsid w:val="33E42737"/>
    <w:rsid w:val="33E43711"/>
    <w:rsid w:val="33E5319B"/>
    <w:rsid w:val="33EA236D"/>
    <w:rsid w:val="33ED7B40"/>
    <w:rsid w:val="33EF4BF9"/>
    <w:rsid w:val="33F24927"/>
    <w:rsid w:val="33F8174D"/>
    <w:rsid w:val="34047AB2"/>
    <w:rsid w:val="3406615B"/>
    <w:rsid w:val="34084570"/>
    <w:rsid w:val="340A23F2"/>
    <w:rsid w:val="340C1714"/>
    <w:rsid w:val="340E04EA"/>
    <w:rsid w:val="340E6D54"/>
    <w:rsid w:val="34134540"/>
    <w:rsid w:val="341955E3"/>
    <w:rsid w:val="341D45A9"/>
    <w:rsid w:val="342155DA"/>
    <w:rsid w:val="342405FE"/>
    <w:rsid w:val="3431799D"/>
    <w:rsid w:val="34331661"/>
    <w:rsid w:val="34407E11"/>
    <w:rsid w:val="344124BC"/>
    <w:rsid w:val="34420141"/>
    <w:rsid w:val="34422A60"/>
    <w:rsid w:val="344719E2"/>
    <w:rsid w:val="344E67D3"/>
    <w:rsid w:val="344F522A"/>
    <w:rsid w:val="34533782"/>
    <w:rsid w:val="345371AE"/>
    <w:rsid w:val="345A6DFE"/>
    <w:rsid w:val="345B1777"/>
    <w:rsid w:val="346A6496"/>
    <w:rsid w:val="34725B9A"/>
    <w:rsid w:val="34730126"/>
    <w:rsid w:val="34770D33"/>
    <w:rsid w:val="34786E56"/>
    <w:rsid w:val="3481206C"/>
    <w:rsid w:val="34824B64"/>
    <w:rsid w:val="348329EE"/>
    <w:rsid w:val="34862FAE"/>
    <w:rsid w:val="348E6872"/>
    <w:rsid w:val="34945673"/>
    <w:rsid w:val="34983A2C"/>
    <w:rsid w:val="34994639"/>
    <w:rsid w:val="34A20857"/>
    <w:rsid w:val="34A31692"/>
    <w:rsid w:val="34B77939"/>
    <w:rsid w:val="34B91CED"/>
    <w:rsid w:val="34BD0108"/>
    <w:rsid w:val="34BD010C"/>
    <w:rsid w:val="34BD7997"/>
    <w:rsid w:val="34CF4DBD"/>
    <w:rsid w:val="34D80DC2"/>
    <w:rsid w:val="34D95893"/>
    <w:rsid w:val="34E03DDC"/>
    <w:rsid w:val="34E25216"/>
    <w:rsid w:val="34E42034"/>
    <w:rsid w:val="34E82043"/>
    <w:rsid w:val="34F373ED"/>
    <w:rsid w:val="34FF407A"/>
    <w:rsid w:val="350A1211"/>
    <w:rsid w:val="350A39EE"/>
    <w:rsid w:val="350B634C"/>
    <w:rsid w:val="350C034F"/>
    <w:rsid w:val="350F349A"/>
    <w:rsid w:val="35106C98"/>
    <w:rsid w:val="351D1134"/>
    <w:rsid w:val="351E33F4"/>
    <w:rsid w:val="351F3796"/>
    <w:rsid w:val="35201AD7"/>
    <w:rsid w:val="35260CAD"/>
    <w:rsid w:val="352654A0"/>
    <w:rsid w:val="35277AC4"/>
    <w:rsid w:val="35295726"/>
    <w:rsid w:val="352C6C0B"/>
    <w:rsid w:val="352F08BE"/>
    <w:rsid w:val="35330F48"/>
    <w:rsid w:val="35394841"/>
    <w:rsid w:val="35405143"/>
    <w:rsid w:val="354528B9"/>
    <w:rsid w:val="35490B61"/>
    <w:rsid w:val="35505B10"/>
    <w:rsid w:val="35644E4C"/>
    <w:rsid w:val="35666C92"/>
    <w:rsid w:val="356D12B5"/>
    <w:rsid w:val="35707D0E"/>
    <w:rsid w:val="35712B15"/>
    <w:rsid w:val="357834F2"/>
    <w:rsid w:val="357B5E07"/>
    <w:rsid w:val="359479A9"/>
    <w:rsid w:val="35A47EE4"/>
    <w:rsid w:val="35AC461D"/>
    <w:rsid w:val="35B93933"/>
    <w:rsid w:val="35BC4F7E"/>
    <w:rsid w:val="35C032BE"/>
    <w:rsid w:val="35CC57D0"/>
    <w:rsid w:val="35D10FDA"/>
    <w:rsid w:val="35E42996"/>
    <w:rsid w:val="35ED38E3"/>
    <w:rsid w:val="35EF58ED"/>
    <w:rsid w:val="360114AD"/>
    <w:rsid w:val="36164C3C"/>
    <w:rsid w:val="36172FC8"/>
    <w:rsid w:val="36186194"/>
    <w:rsid w:val="361870F6"/>
    <w:rsid w:val="36232C00"/>
    <w:rsid w:val="36293ACA"/>
    <w:rsid w:val="36302C1A"/>
    <w:rsid w:val="3632035C"/>
    <w:rsid w:val="36331F78"/>
    <w:rsid w:val="363921B5"/>
    <w:rsid w:val="363B1505"/>
    <w:rsid w:val="36413AA3"/>
    <w:rsid w:val="36433BB3"/>
    <w:rsid w:val="364842EA"/>
    <w:rsid w:val="36516225"/>
    <w:rsid w:val="36565757"/>
    <w:rsid w:val="365B0E83"/>
    <w:rsid w:val="365C7258"/>
    <w:rsid w:val="365E1EC3"/>
    <w:rsid w:val="365E34E7"/>
    <w:rsid w:val="366147D1"/>
    <w:rsid w:val="366D213B"/>
    <w:rsid w:val="366E2B9A"/>
    <w:rsid w:val="36784715"/>
    <w:rsid w:val="367E1058"/>
    <w:rsid w:val="3687064F"/>
    <w:rsid w:val="368C77EE"/>
    <w:rsid w:val="368E138D"/>
    <w:rsid w:val="368E5714"/>
    <w:rsid w:val="3696129F"/>
    <w:rsid w:val="36970AA5"/>
    <w:rsid w:val="36A71C96"/>
    <w:rsid w:val="36AC4FD7"/>
    <w:rsid w:val="36AE3435"/>
    <w:rsid w:val="36B15676"/>
    <w:rsid w:val="36B30619"/>
    <w:rsid w:val="36B734B0"/>
    <w:rsid w:val="36C210BF"/>
    <w:rsid w:val="36C8401B"/>
    <w:rsid w:val="36CB3415"/>
    <w:rsid w:val="36CF347B"/>
    <w:rsid w:val="36D81BF8"/>
    <w:rsid w:val="36D86F29"/>
    <w:rsid w:val="36DB1D0C"/>
    <w:rsid w:val="36E60996"/>
    <w:rsid w:val="36F019CC"/>
    <w:rsid w:val="36F13D4C"/>
    <w:rsid w:val="36F27CD0"/>
    <w:rsid w:val="36F47CF4"/>
    <w:rsid w:val="36FB77C2"/>
    <w:rsid w:val="37054369"/>
    <w:rsid w:val="3709363C"/>
    <w:rsid w:val="370E5C8E"/>
    <w:rsid w:val="37243628"/>
    <w:rsid w:val="372D324F"/>
    <w:rsid w:val="37387490"/>
    <w:rsid w:val="373F11B0"/>
    <w:rsid w:val="373F2964"/>
    <w:rsid w:val="37400DAE"/>
    <w:rsid w:val="374357BD"/>
    <w:rsid w:val="374D53E9"/>
    <w:rsid w:val="374F4EA0"/>
    <w:rsid w:val="374F656F"/>
    <w:rsid w:val="37521E8D"/>
    <w:rsid w:val="37524F81"/>
    <w:rsid w:val="37535506"/>
    <w:rsid w:val="375E7907"/>
    <w:rsid w:val="37644FB2"/>
    <w:rsid w:val="376C1DA5"/>
    <w:rsid w:val="377F3884"/>
    <w:rsid w:val="378038B5"/>
    <w:rsid w:val="37876D65"/>
    <w:rsid w:val="37891A10"/>
    <w:rsid w:val="378A0400"/>
    <w:rsid w:val="378A3362"/>
    <w:rsid w:val="378A7D14"/>
    <w:rsid w:val="379436DC"/>
    <w:rsid w:val="379844CF"/>
    <w:rsid w:val="379A71B4"/>
    <w:rsid w:val="379F2D9B"/>
    <w:rsid w:val="37A01A95"/>
    <w:rsid w:val="37A0561C"/>
    <w:rsid w:val="37A97BE6"/>
    <w:rsid w:val="37B30B62"/>
    <w:rsid w:val="37B52099"/>
    <w:rsid w:val="37B90A18"/>
    <w:rsid w:val="37B9507E"/>
    <w:rsid w:val="37C57984"/>
    <w:rsid w:val="37CA6CC5"/>
    <w:rsid w:val="37D403D3"/>
    <w:rsid w:val="37D5514F"/>
    <w:rsid w:val="37D6505F"/>
    <w:rsid w:val="37DB6374"/>
    <w:rsid w:val="37EC6475"/>
    <w:rsid w:val="37F242F2"/>
    <w:rsid w:val="37F752A2"/>
    <w:rsid w:val="37FF5714"/>
    <w:rsid w:val="38097E02"/>
    <w:rsid w:val="380D06DA"/>
    <w:rsid w:val="38176CA5"/>
    <w:rsid w:val="381E651A"/>
    <w:rsid w:val="381F33E4"/>
    <w:rsid w:val="38232DF2"/>
    <w:rsid w:val="38254C8B"/>
    <w:rsid w:val="38286BC5"/>
    <w:rsid w:val="383D7893"/>
    <w:rsid w:val="383E258D"/>
    <w:rsid w:val="3841426D"/>
    <w:rsid w:val="38417EFC"/>
    <w:rsid w:val="384B233A"/>
    <w:rsid w:val="38533315"/>
    <w:rsid w:val="38577CB8"/>
    <w:rsid w:val="38581E2C"/>
    <w:rsid w:val="385A15F2"/>
    <w:rsid w:val="385B30E8"/>
    <w:rsid w:val="385C36FF"/>
    <w:rsid w:val="38630C90"/>
    <w:rsid w:val="38670329"/>
    <w:rsid w:val="386A2722"/>
    <w:rsid w:val="386C0433"/>
    <w:rsid w:val="386D75D6"/>
    <w:rsid w:val="386F19EF"/>
    <w:rsid w:val="38731CD2"/>
    <w:rsid w:val="3876257B"/>
    <w:rsid w:val="387A44D4"/>
    <w:rsid w:val="387C7FE0"/>
    <w:rsid w:val="387E3543"/>
    <w:rsid w:val="38850AAB"/>
    <w:rsid w:val="38895CD0"/>
    <w:rsid w:val="389A03CA"/>
    <w:rsid w:val="389B41BF"/>
    <w:rsid w:val="38A03A75"/>
    <w:rsid w:val="38A60118"/>
    <w:rsid w:val="38AA6CDC"/>
    <w:rsid w:val="38AC0358"/>
    <w:rsid w:val="38AD7CA1"/>
    <w:rsid w:val="38AF3BE2"/>
    <w:rsid w:val="38B1397F"/>
    <w:rsid w:val="38B909F5"/>
    <w:rsid w:val="38BB4A51"/>
    <w:rsid w:val="38BE1DE6"/>
    <w:rsid w:val="38C726FE"/>
    <w:rsid w:val="38C76A3A"/>
    <w:rsid w:val="38CF157D"/>
    <w:rsid w:val="38E1110A"/>
    <w:rsid w:val="38E37D32"/>
    <w:rsid w:val="38E52C7F"/>
    <w:rsid w:val="38E6394C"/>
    <w:rsid w:val="38FA2369"/>
    <w:rsid w:val="38FC670B"/>
    <w:rsid w:val="39081F1F"/>
    <w:rsid w:val="390C5663"/>
    <w:rsid w:val="39154608"/>
    <w:rsid w:val="391D31E4"/>
    <w:rsid w:val="391F389A"/>
    <w:rsid w:val="3922576A"/>
    <w:rsid w:val="3924016B"/>
    <w:rsid w:val="39261F97"/>
    <w:rsid w:val="3926393D"/>
    <w:rsid w:val="39264DF0"/>
    <w:rsid w:val="392767BA"/>
    <w:rsid w:val="392A3070"/>
    <w:rsid w:val="392B32DA"/>
    <w:rsid w:val="393614F8"/>
    <w:rsid w:val="394C4B70"/>
    <w:rsid w:val="394F2FEC"/>
    <w:rsid w:val="39582E31"/>
    <w:rsid w:val="39593C54"/>
    <w:rsid w:val="395B4520"/>
    <w:rsid w:val="396342F9"/>
    <w:rsid w:val="39666204"/>
    <w:rsid w:val="39670CA1"/>
    <w:rsid w:val="396A7B04"/>
    <w:rsid w:val="396C3CB4"/>
    <w:rsid w:val="396F37C1"/>
    <w:rsid w:val="3973345A"/>
    <w:rsid w:val="39774258"/>
    <w:rsid w:val="397B6ECE"/>
    <w:rsid w:val="397D7DBB"/>
    <w:rsid w:val="3984522B"/>
    <w:rsid w:val="39863F53"/>
    <w:rsid w:val="39891701"/>
    <w:rsid w:val="398A38AF"/>
    <w:rsid w:val="399312FE"/>
    <w:rsid w:val="39A03181"/>
    <w:rsid w:val="39A848C0"/>
    <w:rsid w:val="39AD728B"/>
    <w:rsid w:val="39AE4129"/>
    <w:rsid w:val="39B004B6"/>
    <w:rsid w:val="39B6312B"/>
    <w:rsid w:val="39C626F9"/>
    <w:rsid w:val="39C935E9"/>
    <w:rsid w:val="39CB5C9E"/>
    <w:rsid w:val="39CB66E3"/>
    <w:rsid w:val="39D35FC9"/>
    <w:rsid w:val="39D52694"/>
    <w:rsid w:val="39DA4AA6"/>
    <w:rsid w:val="39DE7D26"/>
    <w:rsid w:val="39EC440F"/>
    <w:rsid w:val="39F3262C"/>
    <w:rsid w:val="39F62BD7"/>
    <w:rsid w:val="3A043E95"/>
    <w:rsid w:val="3A0A201F"/>
    <w:rsid w:val="3A106C84"/>
    <w:rsid w:val="3A17147C"/>
    <w:rsid w:val="3A190CA8"/>
    <w:rsid w:val="3A1D17A2"/>
    <w:rsid w:val="3A1F249A"/>
    <w:rsid w:val="3A2A444C"/>
    <w:rsid w:val="3A2B03D6"/>
    <w:rsid w:val="3A321DFB"/>
    <w:rsid w:val="3A326B38"/>
    <w:rsid w:val="3A36177C"/>
    <w:rsid w:val="3A3A1E13"/>
    <w:rsid w:val="3A3D75F6"/>
    <w:rsid w:val="3A422834"/>
    <w:rsid w:val="3A44389B"/>
    <w:rsid w:val="3A4A7957"/>
    <w:rsid w:val="3A4C45B8"/>
    <w:rsid w:val="3A561F4D"/>
    <w:rsid w:val="3A5A683D"/>
    <w:rsid w:val="3A6642D9"/>
    <w:rsid w:val="3A6A3C25"/>
    <w:rsid w:val="3A6E58C1"/>
    <w:rsid w:val="3A707AAA"/>
    <w:rsid w:val="3A743572"/>
    <w:rsid w:val="3A7544E6"/>
    <w:rsid w:val="3A770DAD"/>
    <w:rsid w:val="3A782F7C"/>
    <w:rsid w:val="3A7F7688"/>
    <w:rsid w:val="3A85253D"/>
    <w:rsid w:val="3A8C34CA"/>
    <w:rsid w:val="3A9D68FF"/>
    <w:rsid w:val="3A9F6CCB"/>
    <w:rsid w:val="3AA10EFC"/>
    <w:rsid w:val="3AA27C50"/>
    <w:rsid w:val="3AA45344"/>
    <w:rsid w:val="3AA81DF9"/>
    <w:rsid w:val="3AAD78B6"/>
    <w:rsid w:val="3AAF65B4"/>
    <w:rsid w:val="3AB27995"/>
    <w:rsid w:val="3AB5744A"/>
    <w:rsid w:val="3ACC3BDC"/>
    <w:rsid w:val="3AD329FC"/>
    <w:rsid w:val="3AD6600E"/>
    <w:rsid w:val="3AD85B67"/>
    <w:rsid w:val="3ADB5B88"/>
    <w:rsid w:val="3ADC2D2A"/>
    <w:rsid w:val="3AE17077"/>
    <w:rsid w:val="3AED77A5"/>
    <w:rsid w:val="3AEF1A10"/>
    <w:rsid w:val="3B201352"/>
    <w:rsid w:val="3B210C94"/>
    <w:rsid w:val="3B287FBD"/>
    <w:rsid w:val="3B2F5E9A"/>
    <w:rsid w:val="3B2F6581"/>
    <w:rsid w:val="3B321615"/>
    <w:rsid w:val="3B3A286F"/>
    <w:rsid w:val="3B3C36D3"/>
    <w:rsid w:val="3B3E6A4B"/>
    <w:rsid w:val="3B421D02"/>
    <w:rsid w:val="3B442EE9"/>
    <w:rsid w:val="3B486A89"/>
    <w:rsid w:val="3B4C366C"/>
    <w:rsid w:val="3B53329A"/>
    <w:rsid w:val="3B581B1B"/>
    <w:rsid w:val="3B5A1DF6"/>
    <w:rsid w:val="3B5F0E6F"/>
    <w:rsid w:val="3B6010F6"/>
    <w:rsid w:val="3B6250F8"/>
    <w:rsid w:val="3B67170E"/>
    <w:rsid w:val="3B686C65"/>
    <w:rsid w:val="3B6B178F"/>
    <w:rsid w:val="3B766BD8"/>
    <w:rsid w:val="3B7E4A28"/>
    <w:rsid w:val="3B9561A4"/>
    <w:rsid w:val="3B96298B"/>
    <w:rsid w:val="3B9734F0"/>
    <w:rsid w:val="3B9D0D74"/>
    <w:rsid w:val="3B9D7EDF"/>
    <w:rsid w:val="3BA433F9"/>
    <w:rsid w:val="3BAE4D80"/>
    <w:rsid w:val="3BB336A4"/>
    <w:rsid w:val="3BB73956"/>
    <w:rsid w:val="3BBE2F4C"/>
    <w:rsid w:val="3BC3010B"/>
    <w:rsid w:val="3BC36B48"/>
    <w:rsid w:val="3BC46C09"/>
    <w:rsid w:val="3BC632DF"/>
    <w:rsid w:val="3BCF2AA6"/>
    <w:rsid w:val="3BD918BF"/>
    <w:rsid w:val="3BDC59FE"/>
    <w:rsid w:val="3BDC6957"/>
    <w:rsid w:val="3BE07B95"/>
    <w:rsid w:val="3BE13124"/>
    <w:rsid w:val="3BEB7FFF"/>
    <w:rsid w:val="3BF67023"/>
    <w:rsid w:val="3BFD0935"/>
    <w:rsid w:val="3C000F68"/>
    <w:rsid w:val="3C01674F"/>
    <w:rsid w:val="3C021896"/>
    <w:rsid w:val="3C0B48CB"/>
    <w:rsid w:val="3C135A83"/>
    <w:rsid w:val="3C1952AD"/>
    <w:rsid w:val="3C2C2E3C"/>
    <w:rsid w:val="3C2E43F3"/>
    <w:rsid w:val="3C2E6F5C"/>
    <w:rsid w:val="3C3C4165"/>
    <w:rsid w:val="3C3E3BBE"/>
    <w:rsid w:val="3C420ABD"/>
    <w:rsid w:val="3C4438AF"/>
    <w:rsid w:val="3C4567D2"/>
    <w:rsid w:val="3C4E2760"/>
    <w:rsid w:val="3C5071F8"/>
    <w:rsid w:val="3C595690"/>
    <w:rsid w:val="3C5F734D"/>
    <w:rsid w:val="3C654D26"/>
    <w:rsid w:val="3C6F77F1"/>
    <w:rsid w:val="3C827ADD"/>
    <w:rsid w:val="3C845215"/>
    <w:rsid w:val="3C905668"/>
    <w:rsid w:val="3C9C5780"/>
    <w:rsid w:val="3C9C77DB"/>
    <w:rsid w:val="3C9E64A7"/>
    <w:rsid w:val="3C9F22D3"/>
    <w:rsid w:val="3CA22C86"/>
    <w:rsid w:val="3CA430EE"/>
    <w:rsid w:val="3CA44FA9"/>
    <w:rsid w:val="3CC02942"/>
    <w:rsid w:val="3CC55DCF"/>
    <w:rsid w:val="3CC831FE"/>
    <w:rsid w:val="3CC94A4B"/>
    <w:rsid w:val="3CCA057E"/>
    <w:rsid w:val="3CD84F2B"/>
    <w:rsid w:val="3CDD28CB"/>
    <w:rsid w:val="3CF0416D"/>
    <w:rsid w:val="3CF619BE"/>
    <w:rsid w:val="3CF87840"/>
    <w:rsid w:val="3D0A63CF"/>
    <w:rsid w:val="3D0E715E"/>
    <w:rsid w:val="3D1C7A22"/>
    <w:rsid w:val="3D204761"/>
    <w:rsid w:val="3D211832"/>
    <w:rsid w:val="3D226965"/>
    <w:rsid w:val="3D252792"/>
    <w:rsid w:val="3D2A7F67"/>
    <w:rsid w:val="3D2F0D09"/>
    <w:rsid w:val="3D3B1992"/>
    <w:rsid w:val="3D3C40AB"/>
    <w:rsid w:val="3D4719F1"/>
    <w:rsid w:val="3D493C65"/>
    <w:rsid w:val="3D4C1F83"/>
    <w:rsid w:val="3D516D6E"/>
    <w:rsid w:val="3D546BAD"/>
    <w:rsid w:val="3D554BD2"/>
    <w:rsid w:val="3D5B2DD3"/>
    <w:rsid w:val="3D5B78BD"/>
    <w:rsid w:val="3D5C76CC"/>
    <w:rsid w:val="3D5E0FBF"/>
    <w:rsid w:val="3D6A7EBC"/>
    <w:rsid w:val="3D6E7D16"/>
    <w:rsid w:val="3D72032E"/>
    <w:rsid w:val="3D7356A8"/>
    <w:rsid w:val="3D781A4D"/>
    <w:rsid w:val="3D787B1D"/>
    <w:rsid w:val="3D7C54B1"/>
    <w:rsid w:val="3D7F55B1"/>
    <w:rsid w:val="3D8D0B16"/>
    <w:rsid w:val="3D8F1166"/>
    <w:rsid w:val="3D9919A1"/>
    <w:rsid w:val="3DA4253A"/>
    <w:rsid w:val="3DA577C9"/>
    <w:rsid w:val="3DAA3985"/>
    <w:rsid w:val="3DB45B0E"/>
    <w:rsid w:val="3DBF5564"/>
    <w:rsid w:val="3DCD1D56"/>
    <w:rsid w:val="3DD11BB1"/>
    <w:rsid w:val="3DD43C75"/>
    <w:rsid w:val="3DD466BF"/>
    <w:rsid w:val="3DDA46D7"/>
    <w:rsid w:val="3DDF418F"/>
    <w:rsid w:val="3DE518D1"/>
    <w:rsid w:val="3DE57870"/>
    <w:rsid w:val="3DE622E5"/>
    <w:rsid w:val="3DE73092"/>
    <w:rsid w:val="3DFD3C49"/>
    <w:rsid w:val="3E0661CC"/>
    <w:rsid w:val="3E086ABE"/>
    <w:rsid w:val="3E0902EF"/>
    <w:rsid w:val="3E0F705B"/>
    <w:rsid w:val="3E127C9C"/>
    <w:rsid w:val="3E152240"/>
    <w:rsid w:val="3E2C6F93"/>
    <w:rsid w:val="3E2D39F5"/>
    <w:rsid w:val="3E321DAF"/>
    <w:rsid w:val="3E34266B"/>
    <w:rsid w:val="3E3643AC"/>
    <w:rsid w:val="3E3972B7"/>
    <w:rsid w:val="3E4014F4"/>
    <w:rsid w:val="3E454FAF"/>
    <w:rsid w:val="3E540389"/>
    <w:rsid w:val="3E572F58"/>
    <w:rsid w:val="3E610C36"/>
    <w:rsid w:val="3E67553F"/>
    <w:rsid w:val="3E693262"/>
    <w:rsid w:val="3E696E53"/>
    <w:rsid w:val="3E6A31A7"/>
    <w:rsid w:val="3E6B4F3D"/>
    <w:rsid w:val="3E71410C"/>
    <w:rsid w:val="3E731A8E"/>
    <w:rsid w:val="3E7D0584"/>
    <w:rsid w:val="3E7E0CB6"/>
    <w:rsid w:val="3E861791"/>
    <w:rsid w:val="3E8A7C20"/>
    <w:rsid w:val="3E8D4C6E"/>
    <w:rsid w:val="3E9778A6"/>
    <w:rsid w:val="3E9829B3"/>
    <w:rsid w:val="3E9C6D67"/>
    <w:rsid w:val="3EA0129B"/>
    <w:rsid w:val="3EA121FC"/>
    <w:rsid w:val="3EA53D32"/>
    <w:rsid w:val="3EAB146E"/>
    <w:rsid w:val="3EB153CA"/>
    <w:rsid w:val="3EB26230"/>
    <w:rsid w:val="3EB27113"/>
    <w:rsid w:val="3EB4393F"/>
    <w:rsid w:val="3EB63BEA"/>
    <w:rsid w:val="3EC65C38"/>
    <w:rsid w:val="3EC96450"/>
    <w:rsid w:val="3ED05DA2"/>
    <w:rsid w:val="3ED53826"/>
    <w:rsid w:val="3EE56D00"/>
    <w:rsid w:val="3EF5635D"/>
    <w:rsid w:val="3EFF2857"/>
    <w:rsid w:val="3F0329FC"/>
    <w:rsid w:val="3F052CF0"/>
    <w:rsid w:val="3F0C0070"/>
    <w:rsid w:val="3F0F4604"/>
    <w:rsid w:val="3F125912"/>
    <w:rsid w:val="3F1321F2"/>
    <w:rsid w:val="3F1A5CA2"/>
    <w:rsid w:val="3F1B5E62"/>
    <w:rsid w:val="3F254A9C"/>
    <w:rsid w:val="3F28786B"/>
    <w:rsid w:val="3F292632"/>
    <w:rsid w:val="3F2A6718"/>
    <w:rsid w:val="3F2C5972"/>
    <w:rsid w:val="3F33309A"/>
    <w:rsid w:val="3F3B0E1A"/>
    <w:rsid w:val="3F3C6738"/>
    <w:rsid w:val="3F3E5769"/>
    <w:rsid w:val="3F445E89"/>
    <w:rsid w:val="3F484ECA"/>
    <w:rsid w:val="3F592DF3"/>
    <w:rsid w:val="3F632014"/>
    <w:rsid w:val="3F641E9F"/>
    <w:rsid w:val="3F696CE7"/>
    <w:rsid w:val="3F6E4CD8"/>
    <w:rsid w:val="3F740F55"/>
    <w:rsid w:val="3F7A6806"/>
    <w:rsid w:val="3F7B5E8C"/>
    <w:rsid w:val="3F836714"/>
    <w:rsid w:val="3F85444C"/>
    <w:rsid w:val="3F897E9E"/>
    <w:rsid w:val="3F8C7143"/>
    <w:rsid w:val="3F90655B"/>
    <w:rsid w:val="3F913F82"/>
    <w:rsid w:val="3F92289F"/>
    <w:rsid w:val="3F967ED2"/>
    <w:rsid w:val="3F9825E8"/>
    <w:rsid w:val="3F987858"/>
    <w:rsid w:val="3F9D1079"/>
    <w:rsid w:val="3F9D22C1"/>
    <w:rsid w:val="3FA632F9"/>
    <w:rsid w:val="3FA7537A"/>
    <w:rsid w:val="3FAA5AE4"/>
    <w:rsid w:val="3FAA6869"/>
    <w:rsid w:val="3FB46678"/>
    <w:rsid w:val="3FB5279D"/>
    <w:rsid w:val="3FB71F98"/>
    <w:rsid w:val="3FBB4C77"/>
    <w:rsid w:val="3FC76631"/>
    <w:rsid w:val="3FC91E25"/>
    <w:rsid w:val="3FCC4741"/>
    <w:rsid w:val="3FD93B0A"/>
    <w:rsid w:val="3FDD151C"/>
    <w:rsid w:val="3FDD1F4F"/>
    <w:rsid w:val="3FDE0A45"/>
    <w:rsid w:val="3FE42BC9"/>
    <w:rsid w:val="3FE4713E"/>
    <w:rsid w:val="3FEC37C0"/>
    <w:rsid w:val="3FEC6AF7"/>
    <w:rsid w:val="3FEE2A15"/>
    <w:rsid w:val="3FF2031D"/>
    <w:rsid w:val="3FF461FC"/>
    <w:rsid w:val="3FF56F7E"/>
    <w:rsid w:val="3FF70B8F"/>
    <w:rsid w:val="40037C00"/>
    <w:rsid w:val="40052589"/>
    <w:rsid w:val="40115A36"/>
    <w:rsid w:val="401177EB"/>
    <w:rsid w:val="4012402D"/>
    <w:rsid w:val="401D554B"/>
    <w:rsid w:val="40211BBD"/>
    <w:rsid w:val="402B2AD3"/>
    <w:rsid w:val="402D5FD6"/>
    <w:rsid w:val="403C75F3"/>
    <w:rsid w:val="40402D5E"/>
    <w:rsid w:val="404B1F1C"/>
    <w:rsid w:val="4058484F"/>
    <w:rsid w:val="40595E09"/>
    <w:rsid w:val="4060623E"/>
    <w:rsid w:val="406A289D"/>
    <w:rsid w:val="406C3218"/>
    <w:rsid w:val="406D47EB"/>
    <w:rsid w:val="406D57E5"/>
    <w:rsid w:val="407C698C"/>
    <w:rsid w:val="407F255D"/>
    <w:rsid w:val="407F4772"/>
    <w:rsid w:val="40835D17"/>
    <w:rsid w:val="40861FD3"/>
    <w:rsid w:val="408A46FC"/>
    <w:rsid w:val="40910CA6"/>
    <w:rsid w:val="40921368"/>
    <w:rsid w:val="40A83990"/>
    <w:rsid w:val="40A87021"/>
    <w:rsid w:val="40B26920"/>
    <w:rsid w:val="40BB51CC"/>
    <w:rsid w:val="40C712C6"/>
    <w:rsid w:val="40C94354"/>
    <w:rsid w:val="40CA29DC"/>
    <w:rsid w:val="40CB4FE4"/>
    <w:rsid w:val="40D07D05"/>
    <w:rsid w:val="40D81A09"/>
    <w:rsid w:val="40DE3BFB"/>
    <w:rsid w:val="40E342BF"/>
    <w:rsid w:val="40E55784"/>
    <w:rsid w:val="40EB768D"/>
    <w:rsid w:val="40EE3E95"/>
    <w:rsid w:val="40F0094C"/>
    <w:rsid w:val="40F869A3"/>
    <w:rsid w:val="40FF1976"/>
    <w:rsid w:val="41045BB6"/>
    <w:rsid w:val="410567A8"/>
    <w:rsid w:val="410D2927"/>
    <w:rsid w:val="41122349"/>
    <w:rsid w:val="41164FB9"/>
    <w:rsid w:val="41241D0B"/>
    <w:rsid w:val="4125656E"/>
    <w:rsid w:val="412B40ED"/>
    <w:rsid w:val="41324C34"/>
    <w:rsid w:val="41390FF1"/>
    <w:rsid w:val="413C6DFC"/>
    <w:rsid w:val="414146EA"/>
    <w:rsid w:val="414E3AEC"/>
    <w:rsid w:val="41572C40"/>
    <w:rsid w:val="415D56C0"/>
    <w:rsid w:val="415F1ADA"/>
    <w:rsid w:val="4163063A"/>
    <w:rsid w:val="41657630"/>
    <w:rsid w:val="4166207A"/>
    <w:rsid w:val="41695DB0"/>
    <w:rsid w:val="416A5616"/>
    <w:rsid w:val="41725D2D"/>
    <w:rsid w:val="417461A9"/>
    <w:rsid w:val="41781ED3"/>
    <w:rsid w:val="417E04CA"/>
    <w:rsid w:val="418021C5"/>
    <w:rsid w:val="41827B94"/>
    <w:rsid w:val="41957B26"/>
    <w:rsid w:val="419868AD"/>
    <w:rsid w:val="41996F62"/>
    <w:rsid w:val="41AF56F9"/>
    <w:rsid w:val="41B86C10"/>
    <w:rsid w:val="41BC297D"/>
    <w:rsid w:val="41C45EBC"/>
    <w:rsid w:val="41CA2E5C"/>
    <w:rsid w:val="41CE5702"/>
    <w:rsid w:val="41D276A7"/>
    <w:rsid w:val="41D42E53"/>
    <w:rsid w:val="41D453CD"/>
    <w:rsid w:val="41D87963"/>
    <w:rsid w:val="41D92603"/>
    <w:rsid w:val="41D9774A"/>
    <w:rsid w:val="41E3014A"/>
    <w:rsid w:val="41E341FE"/>
    <w:rsid w:val="41E95403"/>
    <w:rsid w:val="41F30B89"/>
    <w:rsid w:val="41F63EE3"/>
    <w:rsid w:val="41F84E61"/>
    <w:rsid w:val="41FC261E"/>
    <w:rsid w:val="420073C3"/>
    <w:rsid w:val="42014036"/>
    <w:rsid w:val="42077D47"/>
    <w:rsid w:val="420C3D54"/>
    <w:rsid w:val="420E4E5E"/>
    <w:rsid w:val="4221162D"/>
    <w:rsid w:val="42222617"/>
    <w:rsid w:val="42232D98"/>
    <w:rsid w:val="4239038E"/>
    <w:rsid w:val="42436C48"/>
    <w:rsid w:val="424455BD"/>
    <w:rsid w:val="42492F1D"/>
    <w:rsid w:val="4255091D"/>
    <w:rsid w:val="425972B0"/>
    <w:rsid w:val="42610BBD"/>
    <w:rsid w:val="42632B54"/>
    <w:rsid w:val="426A5D13"/>
    <w:rsid w:val="42751766"/>
    <w:rsid w:val="4276281E"/>
    <w:rsid w:val="42777B5B"/>
    <w:rsid w:val="42810293"/>
    <w:rsid w:val="428265CE"/>
    <w:rsid w:val="42837EF1"/>
    <w:rsid w:val="4288182F"/>
    <w:rsid w:val="428C63C1"/>
    <w:rsid w:val="429A2C24"/>
    <w:rsid w:val="429F01C0"/>
    <w:rsid w:val="42A11CAD"/>
    <w:rsid w:val="42AA53C3"/>
    <w:rsid w:val="42AF0892"/>
    <w:rsid w:val="42B328FB"/>
    <w:rsid w:val="42B335F6"/>
    <w:rsid w:val="42B33C61"/>
    <w:rsid w:val="42B53731"/>
    <w:rsid w:val="42B71409"/>
    <w:rsid w:val="42BA4186"/>
    <w:rsid w:val="42BB6349"/>
    <w:rsid w:val="42C3467B"/>
    <w:rsid w:val="42CB2029"/>
    <w:rsid w:val="42D52CA7"/>
    <w:rsid w:val="42D570D2"/>
    <w:rsid w:val="42D82695"/>
    <w:rsid w:val="42DC2DC4"/>
    <w:rsid w:val="42EA11D2"/>
    <w:rsid w:val="42ED23D6"/>
    <w:rsid w:val="42EF0FFD"/>
    <w:rsid w:val="42F049FC"/>
    <w:rsid w:val="42F12F4B"/>
    <w:rsid w:val="42F22416"/>
    <w:rsid w:val="42F605BD"/>
    <w:rsid w:val="42F858EE"/>
    <w:rsid w:val="43086980"/>
    <w:rsid w:val="430B2AA7"/>
    <w:rsid w:val="431532A3"/>
    <w:rsid w:val="43172AE1"/>
    <w:rsid w:val="43176F22"/>
    <w:rsid w:val="431C37BC"/>
    <w:rsid w:val="43203DFD"/>
    <w:rsid w:val="43250EF3"/>
    <w:rsid w:val="4330181C"/>
    <w:rsid w:val="433B5DDF"/>
    <w:rsid w:val="433F210D"/>
    <w:rsid w:val="434D012E"/>
    <w:rsid w:val="434E438D"/>
    <w:rsid w:val="43521A13"/>
    <w:rsid w:val="43597F7F"/>
    <w:rsid w:val="43663CFD"/>
    <w:rsid w:val="43673BC4"/>
    <w:rsid w:val="436D4602"/>
    <w:rsid w:val="43713C1A"/>
    <w:rsid w:val="43776FC5"/>
    <w:rsid w:val="4379573D"/>
    <w:rsid w:val="437C06AF"/>
    <w:rsid w:val="437D6739"/>
    <w:rsid w:val="43850656"/>
    <w:rsid w:val="438859B1"/>
    <w:rsid w:val="43942E6F"/>
    <w:rsid w:val="439D2EAF"/>
    <w:rsid w:val="43A71B4D"/>
    <w:rsid w:val="43AA6DC4"/>
    <w:rsid w:val="43B256C2"/>
    <w:rsid w:val="43B736B9"/>
    <w:rsid w:val="43C0018E"/>
    <w:rsid w:val="43C53558"/>
    <w:rsid w:val="43C968F9"/>
    <w:rsid w:val="43CB1CC4"/>
    <w:rsid w:val="43CD0623"/>
    <w:rsid w:val="43D12220"/>
    <w:rsid w:val="43D132E0"/>
    <w:rsid w:val="43D72C01"/>
    <w:rsid w:val="43E843B3"/>
    <w:rsid w:val="43EC41CE"/>
    <w:rsid w:val="43ED338A"/>
    <w:rsid w:val="43EF7DC1"/>
    <w:rsid w:val="43F171CD"/>
    <w:rsid w:val="43FF241A"/>
    <w:rsid w:val="44014640"/>
    <w:rsid w:val="440662A3"/>
    <w:rsid w:val="4407343B"/>
    <w:rsid w:val="4407792B"/>
    <w:rsid w:val="440B3AD1"/>
    <w:rsid w:val="440E290D"/>
    <w:rsid w:val="440F5E98"/>
    <w:rsid w:val="44140DB2"/>
    <w:rsid w:val="441504EB"/>
    <w:rsid w:val="441E66AC"/>
    <w:rsid w:val="44274DEF"/>
    <w:rsid w:val="44280F1B"/>
    <w:rsid w:val="44294867"/>
    <w:rsid w:val="4429697C"/>
    <w:rsid w:val="44395803"/>
    <w:rsid w:val="44431F7F"/>
    <w:rsid w:val="444704EB"/>
    <w:rsid w:val="44477F26"/>
    <w:rsid w:val="44506DEE"/>
    <w:rsid w:val="445334C1"/>
    <w:rsid w:val="4461021F"/>
    <w:rsid w:val="44636D6D"/>
    <w:rsid w:val="446B7C2F"/>
    <w:rsid w:val="446E4996"/>
    <w:rsid w:val="447049BB"/>
    <w:rsid w:val="44772F58"/>
    <w:rsid w:val="4479565E"/>
    <w:rsid w:val="447C5AAC"/>
    <w:rsid w:val="4484609C"/>
    <w:rsid w:val="448779E2"/>
    <w:rsid w:val="448B6A74"/>
    <w:rsid w:val="448C0F6F"/>
    <w:rsid w:val="44965E1B"/>
    <w:rsid w:val="44A07D08"/>
    <w:rsid w:val="44B17555"/>
    <w:rsid w:val="44BA3F47"/>
    <w:rsid w:val="44BB6D79"/>
    <w:rsid w:val="44C4575F"/>
    <w:rsid w:val="44C5513F"/>
    <w:rsid w:val="44CA3AE1"/>
    <w:rsid w:val="44D170CD"/>
    <w:rsid w:val="44D232E3"/>
    <w:rsid w:val="44D60E2B"/>
    <w:rsid w:val="44DE3659"/>
    <w:rsid w:val="44E10331"/>
    <w:rsid w:val="44F523E0"/>
    <w:rsid w:val="44F60B3D"/>
    <w:rsid w:val="44F61218"/>
    <w:rsid w:val="44F66CCD"/>
    <w:rsid w:val="44F8166F"/>
    <w:rsid w:val="44FE6600"/>
    <w:rsid w:val="450C0DF5"/>
    <w:rsid w:val="45132519"/>
    <w:rsid w:val="45141349"/>
    <w:rsid w:val="451C3D58"/>
    <w:rsid w:val="451E276D"/>
    <w:rsid w:val="451F0565"/>
    <w:rsid w:val="452631AA"/>
    <w:rsid w:val="45295350"/>
    <w:rsid w:val="45300692"/>
    <w:rsid w:val="4536479A"/>
    <w:rsid w:val="4537240F"/>
    <w:rsid w:val="4538011F"/>
    <w:rsid w:val="454A3A8F"/>
    <w:rsid w:val="454F1400"/>
    <w:rsid w:val="45520EB5"/>
    <w:rsid w:val="455864B5"/>
    <w:rsid w:val="455C1DF4"/>
    <w:rsid w:val="455D1AF4"/>
    <w:rsid w:val="45614FC3"/>
    <w:rsid w:val="45653FC7"/>
    <w:rsid w:val="456858F5"/>
    <w:rsid w:val="4570071C"/>
    <w:rsid w:val="45751F3E"/>
    <w:rsid w:val="457541BB"/>
    <w:rsid w:val="45774D17"/>
    <w:rsid w:val="4586585B"/>
    <w:rsid w:val="45875244"/>
    <w:rsid w:val="458A3131"/>
    <w:rsid w:val="458B1EE9"/>
    <w:rsid w:val="458C153C"/>
    <w:rsid w:val="45945FF1"/>
    <w:rsid w:val="459F33DD"/>
    <w:rsid w:val="45A70AF7"/>
    <w:rsid w:val="45A936B3"/>
    <w:rsid w:val="45B452DD"/>
    <w:rsid w:val="45C52D84"/>
    <w:rsid w:val="45C9424C"/>
    <w:rsid w:val="45D53920"/>
    <w:rsid w:val="45E02A39"/>
    <w:rsid w:val="45EC497B"/>
    <w:rsid w:val="45EE1D9A"/>
    <w:rsid w:val="45F3697E"/>
    <w:rsid w:val="45F64BD8"/>
    <w:rsid w:val="460A79C5"/>
    <w:rsid w:val="46141B20"/>
    <w:rsid w:val="461A0BFC"/>
    <w:rsid w:val="461B5F7F"/>
    <w:rsid w:val="4622003D"/>
    <w:rsid w:val="462211FB"/>
    <w:rsid w:val="463A3A1B"/>
    <w:rsid w:val="46422AAA"/>
    <w:rsid w:val="464419C9"/>
    <w:rsid w:val="46466C71"/>
    <w:rsid w:val="4647138C"/>
    <w:rsid w:val="4650322B"/>
    <w:rsid w:val="46545B6D"/>
    <w:rsid w:val="465649D2"/>
    <w:rsid w:val="46564EEF"/>
    <w:rsid w:val="46572223"/>
    <w:rsid w:val="46574EA6"/>
    <w:rsid w:val="46634CEF"/>
    <w:rsid w:val="466671BA"/>
    <w:rsid w:val="466F376A"/>
    <w:rsid w:val="4675242D"/>
    <w:rsid w:val="46791E40"/>
    <w:rsid w:val="46811344"/>
    <w:rsid w:val="46854387"/>
    <w:rsid w:val="46891818"/>
    <w:rsid w:val="468E48A6"/>
    <w:rsid w:val="468F0A0E"/>
    <w:rsid w:val="468F5748"/>
    <w:rsid w:val="469B5887"/>
    <w:rsid w:val="469C29A3"/>
    <w:rsid w:val="469E0382"/>
    <w:rsid w:val="469E111F"/>
    <w:rsid w:val="469F44A3"/>
    <w:rsid w:val="46A044CB"/>
    <w:rsid w:val="46A44F10"/>
    <w:rsid w:val="46A92540"/>
    <w:rsid w:val="46AD778F"/>
    <w:rsid w:val="46AF33A2"/>
    <w:rsid w:val="46B00221"/>
    <w:rsid w:val="46B1291C"/>
    <w:rsid w:val="46B95056"/>
    <w:rsid w:val="46BB63D6"/>
    <w:rsid w:val="46C01330"/>
    <w:rsid w:val="46C055D6"/>
    <w:rsid w:val="46CA6877"/>
    <w:rsid w:val="46CB08B5"/>
    <w:rsid w:val="46D44060"/>
    <w:rsid w:val="46D87921"/>
    <w:rsid w:val="46E36838"/>
    <w:rsid w:val="46EA777C"/>
    <w:rsid w:val="46ED7970"/>
    <w:rsid w:val="46EE25D0"/>
    <w:rsid w:val="46EE3AEB"/>
    <w:rsid w:val="46F80D92"/>
    <w:rsid w:val="470112D1"/>
    <w:rsid w:val="471C49BA"/>
    <w:rsid w:val="472043DB"/>
    <w:rsid w:val="47256DA2"/>
    <w:rsid w:val="472653C1"/>
    <w:rsid w:val="472C69DF"/>
    <w:rsid w:val="472D7A65"/>
    <w:rsid w:val="47312633"/>
    <w:rsid w:val="47346EFA"/>
    <w:rsid w:val="4739655F"/>
    <w:rsid w:val="4749693A"/>
    <w:rsid w:val="474A0981"/>
    <w:rsid w:val="474D52A6"/>
    <w:rsid w:val="4759639B"/>
    <w:rsid w:val="476D136F"/>
    <w:rsid w:val="476E686F"/>
    <w:rsid w:val="47752ACA"/>
    <w:rsid w:val="47753815"/>
    <w:rsid w:val="477E388B"/>
    <w:rsid w:val="477E4E3A"/>
    <w:rsid w:val="478207AE"/>
    <w:rsid w:val="478F1EAB"/>
    <w:rsid w:val="4791112C"/>
    <w:rsid w:val="47951E3A"/>
    <w:rsid w:val="47966882"/>
    <w:rsid w:val="479B518B"/>
    <w:rsid w:val="47A20F2D"/>
    <w:rsid w:val="47AE5526"/>
    <w:rsid w:val="47AE6A1F"/>
    <w:rsid w:val="47B01503"/>
    <w:rsid w:val="47BB0608"/>
    <w:rsid w:val="47BB3F27"/>
    <w:rsid w:val="47CA4A80"/>
    <w:rsid w:val="47CB6C89"/>
    <w:rsid w:val="47D41A3A"/>
    <w:rsid w:val="47D838E4"/>
    <w:rsid w:val="47D87474"/>
    <w:rsid w:val="47D87675"/>
    <w:rsid w:val="47DD693B"/>
    <w:rsid w:val="47DE1460"/>
    <w:rsid w:val="47E02C4F"/>
    <w:rsid w:val="47E23252"/>
    <w:rsid w:val="47E838E9"/>
    <w:rsid w:val="47E94DE2"/>
    <w:rsid w:val="47EC51AD"/>
    <w:rsid w:val="47F42611"/>
    <w:rsid w:val="47F804F7"/>
    <w:rsid w:val="47FE5D7A"/>
    <w:rsid w:val="47FF5FAA"/>
    <w:rsid w:val="47FF71AB"/>
    <w:rsid w:val="48014800"/>
    <w:rsid w:val="48076224"/>
    <w:rsid w:val="480A3F4D"/>
    <w:rsid w:val="480B5F59"/>
    <w:rsid w:val="481016A9"/>
    <w:rsid w:val="481D5126"/>
    <w:rsid w:val="482708DB"/>
    <w:rsid w:val="48282265"/>
    <w:rsid w:val="482C6A4E"/>
    <w:rsid w:val="482C7282"/>
    <w:rsid w:val="482F514B"/>
    <w:rsid w:val="48313474"/>
    <w:rsid w:val="48314681"/>
    <w:rsid w:val="4833157F"/>
    <w:rsid w:val="4837041A"/>
    <w:rsid w:val="48386F22"/>
    <w:rsid w:val="484B36DF"/>
    <w:rsid w:val="484C6757"/>
    <w:rsid w:val="48555ED1"/>
    <w:rsid w:val="485872C1"/>
    <w:rsid w:val="485D078E"/>
    <w:rsid w:val="486336B2"/>
    <w:rsid w:val="48681CCE"/>
    <w:rsid w:val="487429ED"/>
    <w:rsid w:val="487D1CBC"/>
    <w:rsid w:val="487D24E0"/>
    <w:rsid w:val="487F5396"/>
    <w:rsid w:val="4880097C"/>
    <w:rsid w:val="488C0463"/>
    <w:rsid w:val="488F17BC"/>
    <w:rsid w:val="48921950"/>
    <w:rsid w:val="489543FE"/>
    <w:rsid w:val="489D2C9F"/>
    <w:rsid w:val="48A0012A"/>
    <w:rsid w:val="48AA6C9D"/>
    <w:rsid w:val="48AD563F"/>
    <w:rsid w:val="48B45B96"/>
    <w:rsid w:val="48B87799"/>
    <w:rsid w:val="48B97B0E"/>
    <w:rsid w:val="48BB1589"/>
    <w:rsid w:val="48BC1B0B"/>
    <w:rsid w:val="48BD6A70"/>
    <w:rsid w:val="48BF2010"/>
    <w:rsid w:val="48C01EAE"/>
    <w:rsid w:val="48C978B3"/>
    <w:rsid w:val="48CA010B"/>
    <w:rsid w:val="48D10C7B"/>
    <w:rsid w:val="48E1648A"/>
    <w:rsid w:val="48E56087"/>
    <w:rsid w:val="48E87E97"/>
    <w:rsid w:val="48E92300"/>
    <w:rsid w:val="48F60F32"/>
    <w:rsid w:val="49021432"/>
    <w:rsid w:val="49085980"/>
    <w:rsid w:val="490A78D9"/>
    <w:rsid w:val="49172A99"/>
    <w:rsid w:val="491D2FC1"/>
    <w:rsid w:val="491E5DBE"/>
    <w:rsid w:val="492041DE"/>
    <w:rsid w:val="492504DE"/>
    <w:rsid w:val="49287E2A"/>
    <w:rsid w:val="49366912"/>
    <w:rsid w:val="49391300"/>
    <w:rsid w:val="49432569"/>
    <w:rsid w:val="494B3F82"/>
    <w:rsid w:val="49533722"/>
    <w:rsid w:val="495447F2"/>
    <w:rsid w:val="495D4F4B"/>
    <w:rsid w:val="49603C27"/>
    <w:rsid w:val="4969295F"/>
    <w:rsid w:val="498C0135"/>
    <w:rsid w:val="498E006E"/>
    <w:rsid w:val="49917228"/>
    <w:rsid w:val="499601D0"/>
    <w:rsid w:val="499A7CDE"/>
    <w:rsid w:val="499D17E8"/>
    <w:rsid w:val="49A333BF"/>
    <w:rsid w:val="49A37C1F"/>
    <w:rsid w:val="49A90D22"/>
    <w:rsid w:val="49B06CF0"/>
    <w:rsid w:val="49B07107"/>
    <w:rsid w:val="49B43334"/>
    <w:rsid w:val="49B50FCF"/>
    <w:rsid w:val="49C40AD3"/>
    <w:rsid w:val="49CB3272"/>
    <w:rsid w:val="49D26F63"/>
    <w:rsid w:val="49D467CE"/>
    <w:rsid w:val="49D74613"/>
    <w:rsid w:val="49D80D89"/>
    <w:rsid w:val="49D864A1"/>
    <w:rsid w:val="49DC054E"/>
    <w:rsid w:val="49DC18E2"/>
    <w:rsid w:val="49E90B77"/>
    <w:rsid w:val="49E92E37"/>
    <w:rsid w:val="49EF45CA"/>
    <w:rsid w:val="49F42FC9"/>
    <w:rsid w:val="49F45A1F"/>
    <w:rsid w:val="49F4766A"/>
    <w:rsid w:val="49F77B36"/>
    <w:rsid w:val="4A0277CD"/>
    <w:rsid w:val="4A030085"/>
    <w:rsid w:val="4A077BD7"/>
    <w:rsid w:val="4A0A5106"/>
    <w:rsid w:val="4A0F5DE1"/>
    <w:rsid w:val="4A167D4E"/>
    <w:rsid w:val="4A1958FD"/>
    <w:rsid w:val="4A1A3F4D"/>
    <w:rsid w:val="4A1E0E40"/>
    <w:rsid w:val="4A2117DB"/>
    <w:rsid w:val="4A262E50"/>
    <w:rsid w:val="4A334991"/>
    <w:rsid w:val="4A344F73"/>
    <w:rsid w:val="4A366BDA"/>
    <w:rsid w:val="4A4333DC"/>
    <w:rsid w:val="4A472F13"/>
    <w:rsid w:val="4A4819B2"/>
    <w:rsid w:val="4A4B4166"/>
    <w:rsid w:val="4A6766A0"/>
    <w:rsid w:val="4A6B04B1"/>
    <w:rsid w:val="4A710F47"/>
    <w:rsid w:val="4A725665"/>
    <w:rsid w:val="4A742650"/>
    <w:rsid w:val="4A814CDA"/>
    <w:rsid w:val="4A815A39"/>
    <w:rsid w:val="4A851609"/>
    <w:rsid w:val="4A876BD5"/>
    <w:rsid w:val="4A89184A"/>
    <w:rsid w:val="4A8C3B4B"/>
    <w:rsid w:val="4A936A77"/>
    <w:rsid w:val="4A9C5F4C"/>
    <w:rsid w:val="4A9F7002"/>
    <w:rsid w:val="4AA25478"/>
    <w:rsid w:val="4AA954C7"/>
    <w:rsid w:val="4AB20A59"/>
    <w:rsid w:val="4AB4515B"/>
    <w:rsid w:val="4AB851A6"/>
    <w:rsid w:val="4ABE6CCD"/>
    <w:rsid w:val="4AC03BAB"/>
    <w:rsid w:val="4AC60E46"/>
    <w:rsid w:val="4ACF2BCD"/>
    <w:rsid w:val="4AD273B4"/>
    <w:rsid w:val="4AE07137"/>
    <w:rsid w:val="4AE10CEB"/>
    <w:rsid w:val="4AE40013"/>
    <w:rsid w:val="4AE75C98"/>
    <w:rsid w:val="4AE918E2"/>
    <w:rsid w:val="4AEA2DD3"/>
    <w:rsid w:val="4AEB4793"/>
    <w:rsid w:val="4AEE62C5"/>
    <w:rsid w:val="4AFD2E4D"/>
    <w:rsid w:val="4B02522B"/>
    <w:rsid w:val="4B0552E3"/>
    <w:rsid w:val="4B1146CB"/>
    <w:rsid w:val="4B13178B"/>
    <w:rsid w:val="4B1D0A24"/>
    <w:rsid w:val="4B227A40"/>
    <w:rsid w:val="4B2657DA"/>
    <w:rsid w:val="4B286638"/>
    <w:rsid w:val="4B29405F"/>
    <w:rsid w:val="4B320FDD"/>
    <w:rsid w:val="4B3264C8"/>
    <w:rsid w:val="4B341E4B"/>
    <w:rsid w:val="4B40717A"/>
    <w:rsid w:val="4B4F47CC"/>
    <w:rsid w:val="4B506E62"/>
    <w:rsid w:val="4B5556DC"/>
    <w:rsid w:val="4B5C5001"/>
    <w:rsid w:val="4B5E532E"/>
    <w:rsid w:val="4B5E55E2"/>
    <w:rsid w:val="4B62513B"/>
    <w:rsid w:val="4B6B74E7"/>
    <w:rsid w:val="4B703DA9"/>
    <w:rsid w:val="4B7169D4"/>
    <w:rsid w:val="4B820CB4"/>
    <w:rsid w:val="4B8579A1"/>
    <w:rsid w:val="4B870045"/>
    <w:rsid w:val="4B88263C"/>
    <w:rsid w:val="4B891E94"/>
    <w:rsid w:val="4B9354BF"/>
    <w:rsid w:val="4B971365"/>
    <w:rsid w:val="4B9820B4"/>
    <w:rsid w:val="4B9D42A3"/>
    <w:rsid w:val="4BA860EA"/>
    <w:rsid w:val="4BAB3C39"/>
    <w:rsid w:val="4BB061CC"/>
    <w:rsid w:val="4BB43E85"/>
    <w:rsid w:val="4BB74C69"/>
    <w:rsid w:val="4BB931C0"/>
    <w:rsid w:val="4BBF2D51"/>
    <w:rsid w:val="4BBF4AF0"/>
    <w:rsid w:val="4BC04353"/>
    <w:rsid w:val="4BCC7A7D"/>
    <w:rsid w:val="4BCF0648"/>
    <w:rsid w:val="4BD97F59"/>
    <w:rsid w:val="4BDC5E0F"/>
    <w:rsid w:val="4BE33054"/>
    <w:rsid w:val="4BEA2F99"/>
    <w:rsid w:val="4BEB256E"/>
    <w:rsid w:val="4BF50335"/>
    <w:rsid w:val="4BFE0D6A"/>
    <w:rsid w:val="4BFE39C2"/>
    <w:rsid w:val="4C047359"/>
    <w:rsid w:val="4C063590"/>
    <w:rsid w:val="4C1A17AA"/>
    <w:rsid w:val="4C1C6C79"/>
    <w:rsid w:val="4C255CC3"/>
    <w:rsid w:val="4C2F2D78"/>
    <w:rsid w:val="4C3D0C24"/>
    <w:rsid w:val="4C3E2A23"/>
    <w:rsid w:val="4C480115"/>
    <w:rsid w:val="4C48167B"/>
    <w:rsid w:val="4C4E1120"/>
    <w:rsid w:val="4C510BCF"/>
    <w:rsid w:val="4C5878BA"/>
    <w:rsid w:val="4C64533A"/>
    <w:rsid w:val="4C661C1C"/>
    <w:rsid w:val="4C670406"/>
    <w:rsid w:val="4C725A2B"/>
    <w:rsid w:val="4C75689C"/>
    <w:rsid w:val="4C76253F"/>
    <w:rsid w:val="4C7746D2"/>
    <w:rsid w:val="4C795CD3"/>
    <w:rsid w:val="4C7D1078"/>
    <w:rsid w:val="4C7E5A0B"/>
    <w:rsid w:val="4C851F80"/>
    <w:rsid w:val="4C863790"/>
    <w:rsid w:val="4C895B76"/>
    <w:rsid w:val="4C8D64FE"/>
    <w:rsid w:val="4C8D7800"/>
    <w:rsid w:val="4C8E06BE"/>
    <w:rsid w:val="4C9475F9"/>
    <w:rsid w:val="4C9A6450"/>
    <w:rsid w:val="4C9E50A7"/>
    <w:rsid w:val="4CAD6457"/>
    <w:rsid w:val="4CB53967"/>
    <w:rsid w:val="4CB92D49"/>
    <w:rsid w:val="4CBC2253"/>
    <w:rsid w:val="4CBD1C7E"/>
    <w:rsid w:val="4CC01EB2"/>
    <w:rsid w:val="4CCD26E6"/>
    <w:rsid w:val="4CD22889"/>
    <w:rsid w:val="4CD93B87"/>
    <w:rsid w:val="4CDA096F"/>
    <w:rsid w:val="4CDD76AD"/>
    <w:rsid w:val="4CE05B3F"/>
    <w:rsid w:val="4CE90F4B"/>
    <w:rsid w:val="4CEA36DA"/>
    <w:rsid w:val="4CEF6C28"/>
    <w:rsid w:val="4CF03A78"/>
    <w:rsid w:val="4CF2235C"/>
    <w:rsid w:val="4CF764AE"/>
    <w:rsid w:val="4D004728"/>
    <w:rsid w:val="4D0265C3"/>
    <w:rsid w:val="4D056697"/>
    <w:rsid w:val="4D0F4FDF"/>
    <w:rsid w:val="4D162B30"/>
    <w:rsid w:val="4D262164"/>
    <w:rsid w:val="4D28618E"/>
    <w:rsid w:val="4D2930DD"/>
    <w:rsid w:val="4D29592B"/>
    <w:rsid w:val="4D2A6955"/>
    <w:rsid w:val="4D3457BA"/>
    <w:rsid w:val="4D3B1A55"/>
    <w:rsid w:val="4D3D6CE6"/>
    <w:rsid w:val="4D4579D2"/>
    <w:rsid w:val="4D4E7D14"/>
    <w:rsid w:val="4D593EA6"/>
    <w:rsid w:val="4D5B01CC"/>
    <w:rsid w:val="4D6220CC"/>
    <w:rsid w:val="4D624827"/>
    <w:rsid w:val="4D684320"/>
    <w:rsid w:val="4D6C62BC"/>
    <w:rsid w:val="4D6F73FB"/>
    <w:rsid w:val="4D78757A"/>
    <w:rsid w:val="4D85670A"/>
    <w:rsid w:val="4D891E01"/>
    <w:rsid w:val="4D8D536D"/>
    <w:rsid w:val="4D907200"/>
    <w:rsid w:val="4D99242A"/>
    <w:rsid w:val="4D9B0C7E"/>
    <w:rsid w:val="4D9B70DA"/>
    <w:rsid w:val="4DA121C6"/>
    <w:rsid w:val="4DA878AB"/>
    <w:rsid w:val="4DAA51A1"/>
    <w:rsid w:val="4DAC2E09"/>
    <w:rsid w:val="4DAF20F2"/>
    <w:rsid w:val="4DBB6EC8"/>
    <w:rsid w:val="4DBE4579"/>
    <w:rsid w:val="4DC732FB"/>
    <w:rsid w:val="4DD64CA3"/>
    <w:rsid w:val="4DD7622E"/>
    <w:rsid w:val="4DDD1E2E"/>
    <w:rsid w:val="4DE017F0"/>
    <w:rsid w:val="4DE14C8D"/>
    <w:rsid w:val="4DE3792F"/>
    <w:rsid w:val="4DE904E0"/>
    <w:rsid w:val="4DEB17E5"/>
    <w:rsid w:val="4DF71D22"/>
    <w:rsid w:val="4DFE13F3"/>
    <w:rsid w:val="4DFF7859"/>
    <w:rsid w:val="4E042654"/>
    <w:rsid w:val="4E05048A"/>
    <w:rsid w:val="4E0E343E"/>
    <w:rsid w:val="4E156075"/>
    <w:rsid w:val="4E1E08FD"/>
    <w:rsid w:val="4E26789A"/>
    <w:rsid w:val="4E290865"/>
    <w:rsid w:val="4E306232"/>
    <w:rsid w:val="4E33542E"/>
    <w:rsid w:val="4E3D2F4C"/>
    <w:rsid w:val="4E46687C"/>
    <w:rsid w:val="4E481074"/>
    <w:rsid w:val="4E4C16A0"/>
    <w:rsid w:val="4E4D4C9E"/>
    <w:rsid w:val="4E4D62B8"/>
    <w:rsid w:val="4E61122D"/>
    <w:rsid w:val="4E6138FB"/>
    <w:rsid w:val="4E685CC8"/>
    <w:rsid w:val="4E6F1A3E"/>
    <w:rsid w:val="4E7C7A42"/>
    <w:rsid w:val="4E7E1973"/>
    <w:rsid w:val="4E904C80"/>
    <w:rsid w:val="4E9079AE"/>
    <w:rsid w:val="4E950023"/>
    <w:rsid w:val="4E98322A"/>
    <w:rsid w:val="4E9C2F9A"/>
    <w:rsid w:val="4EA465BE"/>
    <w:rsid w:val="4EA529CE"/>
    <w:rsid w:val="4EA75DCC"/>
    <w:rsid w:val="4EAE7EBD"/>
    <w:rsid w:val="4EB05F16"/>
    <w:rsid w:val="4ED35AF9"/>
    <w:rsid w:val="4ED71931"/>
    <w:rsid w:val="4EDA68F3"/>
    <w:rsid w:val="4EE12122"/>
    <w:rsid w:val="4EE15ABF"/>
    <w:rsid w:val="4EE7208E"/>
    <w:rsid w:val="4EE819F7"/>
    <w:rsid w:val="4EF032D3"/>
    <w:rsid w:val="4EF04A33"/>
    <w:rsid w:val="4EF501F7"/>
    <w:rsid w:val="4F075636"/>
    <w:rsid w:val="4F0B0398"/>
    <w:rsid w:val="4F0E0AED"/>
    <w:rsid w:val="4F0E53A3"/>
    <w:rsid w:val="4F14641C"/>
    <w:rsid w:val="4F1477F5"/>
    <w:rsid w:val="4F19213F"/>
    <w:rsid w:val="4F1C5D16"/>
    <w:rsid w:val="4F1D5AF5"/>
    <w:rsid w:val="4F2B4088"/>
    <w:rsid w:val="4F2B6796"/>
    <w:rsid w:val="4F2F0144"/>
    <w:rsid w:val="4F3050FD"/>
    <w:rsid w:val="4F391107"/>
    <w:rsid w:val="4F3F72FA"/>
    <w:rsid w:val="4F444C61"/>
    <w:rsid w:val="4F4830A2"/>
    <w:rsid w:val="4F4A04AF"/>
    <w:rsid w:val="4F4E52DF"/>
    <w:rsid w:val="4F557512"/>
    <w:rsid w:val="4F5605AD"/>
    <w:rsid w:val="4F564566"/>
    <w:rsid w:val="4F57196C"/>
    <w:rsid w:val="4F6314A4"/>
    <w:rsid w:val="4F662861"/>
    <w:rsid w:val="4F69157C"/>
    <w:rsid w:val="4F6B6734"/>
    <w:rsid w:val="4F735D13"/>
    <w:rsid w:val="4F7E7938"/>
    <w:rsid w:val="4F8056F9"/>
    <w:rsid w:val="4F823856"/>
    <w:rsid w:val="4F873111"/>
    <w:rsid w:val="4F915923"/>
    <w:rsid w:val="4F93790D"/>
    <w:rsid w:val="4F940CC3"/>
    <w:rsid w:val="4F9D3BC2"/>
    <w:rsid w:val="4F9E5DF4"/>
    <w:rsid w:val="4FAB7A6F"/>
    <w:rsid w:val="4FAC6F70"/>
    <w:rsid w:val="4FB07655"/>
    <w:rsid w:val="4FB12163"/>
    <w:rsid w:val="4FB41F08"/>
    <w:rsid w:val="4FB46E5C"/>
    <w:rsid w:val="4FB96CCB"/>
    <w:rsid w:val="4FBF2401"/>
    <w:rsid w:val="4FC431E4"/>
    <w:rsid w:val="4FC83C87"/>
    <w:rsid w:val="4FCE7AEB"/>
    <w:rsid w:val="4FD51E1C"/>
    <w:rsid w:val="4FD91BA2"/>
    <w:rsid w:val="4FDC108B"/>
    <w:rsid w:val="4FDC377D"/>
    <w:rsid w:val="4FDD4657"/>
    <w:rsid w:val="4FDE3CAF"/>
    <w:rsid w:val="4FDF64FE"/>
    <w:rsid w:val="4FE66030"/>
    <w:rsid w:val="4FE672A4"/>
    <w:rsid w:val="4FE9410B"/>
    <w:rsid w:val="4FEC605E"/>
    <w:rsid w:val="4FF550BD"/>
    <w:rsid w:val="4FFB32FB"/>
    <w:rsid w:val="500209D4"/>
    <w:rsid w:val="500F0EA9"/>
    <w:rsid w:val="501362B1"/>
    <w:rsid w:val="50160957"/>
    <w:rsid w:val="501D3450"/>
    <w:rsid w:val="50213603"/>
    <w:rsid w:val="502B53A1"/>
    <w:rsid w:val="502C18C0"/>
    <w:rsid w:val="50331087"/>
    <w:rsid w:val="50341792"/>
    <w:rsid w:val="503D37EA"/>
    <w:rsid w:val="503E6E5E"/>
    <w:rsid w:val="50414058"/>
    <w:rsid w:val="50420028"/>
    <w:rsid w:val="504B545C"/>
    <w:rsid w:val="504F454A"/>
    <w:rsid w:val="50571BC3"/>
    <w:rsid w:val="505D441E"/>
    <w:rsid w:val="505E5DC4"/>
    <w:rsid w:val="50601CBC"/>
    <w:rsid w:val="50734758"/>
    <w:rsid w:val="50754549"/>
    <w:rsid w:val="5075457F"/>
    <w:rsid w:val="507577CD"/>
    <w:rsid w:val="50784012"/>
    <w:rsid w:val="50791A93"/>
    <w:rsid w:val="507E179E"/>
    <w:rsid w:val="50825952"/>
    <w:rsid w:val="50861C5A"/>
    <w:rsid w:val="508F624A"/>
    <w:rsid w:val="509C38A3"/>
    <w:rsid w:val="50A61336"/>
    <w:rsid w:val="50AE2526"/>
    <w:rsid w:val="50B004F6"/>
    <w:rsid w:val="50B4392D"/>
    <w:rsid w:val="50BF0F55"/>
    <w:rsid w:val="50C20F8E"/>
    <w:rsid w:val="50CD789E"/>
    <w:rsid w:val="50D07E17"/>
    <w:rsid w:val="50D310EB"/>
    <w:rsid w:val="50D6119C"/>
    <w:rsid w:val="50DD6EFB"/>
    <w:rsid w:val="50E10E82"/>
    <w:rsid w:val="50E91BD5"/>
    <w:rsid w:val="50E95541"/>
    <w:rsid w:val="50EF076E"/>
    <w:rsid w:val="50EF1DAD"/>
    <w:rsid w:val="50EF34B9"/>
    <w:rsid w:val="50F85F41"/>
    <w:rsid w:val="50FE4090"/>
    <w:rsid w:val="5119199D"/>
    <w:rsid w:val="51192EC1"/>
    <w:rsid w:val="511B0709"/>
    <w:rsid w:val="51285275"/>
    <w:rsid w:val="512D0F0D"/>
    <w:rsid w:val="513B7D59"/>
    <w:rsid w:val="513D14D0"/>
    <w:rsid w:val="51405BEB"/>
    <w:rsid w:val="51423622"/>
    <w:rsid w:val="51423E38"/>
    <w:rsid w:val="514331A4"/>
    <w:rsid w:val="514954EF"/>
    <w:rsid w:val="514D641F"/>
    <w:rsid w:val="514D75B0"/>
    <w:rsid w:val="51562A4F"/>
    <w:rsid w:val="51576D70"/>
    <w:rsid w:val="515B2FCF"/>
    <w:rsid w:val="515B385D"/>
    <w:rsid w:val="51635248"/>
    <w:rsid w:val="516B3544"/>
    <w:rsid w:val="51701AE4"/>
    <w:rsid w:val="517348B7"/>
    <w:rsid w:val="51760434"/>
    <w:rsid w:val="517B025B"/>
    <w:rsid w:val="5180622A"/>
    <w:rsid w:val="51874682"/>
    <w:rsid w:val="518A4E5D"/>
    <w:rsid w:val="519A083F"/>
    <w:rsid w:val="519B1123"/>
    <w:rsid w:val="51A51E5B"/>
    <w:rsid w:val="51A749D8"/>
    <w:rsid w:val="51AB05F3"/>
    <w:rsid w:val="51AD4246"/>
    <w:rsid w:val="51AF08EB"/>
    <w:rsid w:val="51B62D23"/>
    <w:rsid w:val="51C6458B"/>
    <w:rsid w:val="51C750F1"/>
    <w:rsid w:val="51CB6D03"/>
    <w:rsid w:val="51D03721"/>
    <w:rsid w:val="51D63898"/>
    <w:rsid w:val="51D960BE"/>
    <w:rsid w:val="51E619F2"/>
    <w:rsid w:val="51E674A8"/>
    <w:rsid w:val="51E73595"/>
    <w:rsid w:val="51E777E8"/>
    <w:rsid w:val="51EC715D"/>
    <w:rsid w:val="51EE424D"/>
    <w:rsid w:val="51F1015F"/>
    <w:rsid w:val="51F747A0"/>
    <w:rsid w:val="51FF0996"/>
    <w:rsid w:val="5200752D"/>
    <w:rsid w:val="5201308A"/>
    <w:rsid w:val="52013E99"/>
    <w:rsid w:val="520F0C30"/>
    <w:rsid w:val="52110BE6"/>
    <w:rsid w:val="521F3C61"/>
    <w:rsid w:val="522555C3"/>
    <w:rsid w:val="522A7567"/>
    <w:rsid w:val="523105DE"/>
    <w:rsid w:val="52324AF1"/>
    <w:rsid w:val="52325762"/>
    <w:rsid w:val="523E18AB"/>
    <w:rsid w:val="523F4B54"/>
    <w:rsid w:val="52401468"/>
    <w:rsid w:val="52447EE5"/>
    <w:rsid w:val="5248734B"/>
    <w:rsid w:val="5258197E"/>
    <w:rsid w:val="526016C1"/>
    <w:rsid w:val="52796B99"/>
    <w:rsid w:val="527D1264"/>
    <w:rsid w:val="52830761"/>
    <w:rsid w:val="52870B75"/>
    <w:rsid w:val="52873D55"/>
    <w:rsid w:val="528801B6"/>
    <w:rsid w:val="52900531"/>
    <w:rsid w:val="52932EC0"/>
    <w:rsid w:val="52933906"/>
    <w:rsid w:val="52966AB4"/>
    <w:rsid w:val="52982876"/>
    <w:rsid w:val="529D1A39"/>
    <w:rsid w:val="52AC750A"/>
    <w:rsid w:val="52AE173B"/>
    <w:rsid w:val="52B03A8F"/>
    <w:rsid w:val="52B86762"/>
    <w:rsid w:val="52BD5DFB"/>
    <w:rsid w:val="52D1715A"/>
    <w:rsid w:val="52D71487"/>
    <w:rsid w:val="52D723D2"/>
    <w:rsid w:val="52D827C4"/>
    <w:rsid w:val="52DA21E8"/>
    <w:rsid w:val="52DD059E"/>
    <w:rsid w:val="52DE3BA7"/>
    <w:rsid w:val="52E82B11"/>
    <w:rsid w:val="52ED3D75"/>
    <w:rsid w:val="52F36DE4"/>
    <w:rsid w:val="52FA6DAF"/>
    <w:rsid w:val="52FC2540"/>
    <w:rsid w:val="52FD1799"/>
    <w:rsid w:val="53006993"/>
    <w:rsid w:val="530C4D8F"/>
    <w:rsid w:val="530F41EF"/>
    <w:rsid w:val="53125B2F"/>
    <w:rsid w:val="53142709"/>
    <w:rsid w:val="53144F22"/>
    <w:rsid w:val="53161BBD"/>
    <w:rsid w:val="531844B5"/>
    <w:rsid w:val="531B2D2C"/>
    <w:rsid w:val="53214786"/>
    <w:rsid w:val="5323761D"/>
    <w:rsid w:val="53292944"/>
    <w:rsid w:val="532A6DFE"/>
    <w:rsid w:val="532B433F"/>
    <w:rsid w:val="532C0A15"/>
    <w:rsid w:val="53354FF5"/>
    <w:rsid w:val="533569AD"/>
    <w:rsid w:val="53381665"/>
    <w:rsid w:val="5338662A"/>
    <w:rsid w:val="533A6FEF"/>
    <w:rsid w:val="533E47A2"/>
    <w:rsid w:val="53472372"/>
    <w:rsid w:val="53497829"/>
    <w:rsid w:val="534A77BC"/>
    <w:rsid w:val="534E3B3B"/>
    <w:rsid w:val="534F5D39"/>
    <w:rsid w:val="53531578"/>
    <w:rsid w:val="53533884"/>
    <w:rsid w:val="53626926"/>
    <w:rsid w:val="536C23D4"/>
    <w:rsid w:val="536D7143"/>
    <w:rsid w:val="5370331D"/>
    <w:rsid w:val="53724D4E"/>
    <w:rsid w:val="53796E3F"/>
    <w:rsid w:val="537D29CC"/>
    <w:rsid w:val="538047FB"/>
    <w:rsid w:val="53805797"/>
    <w:rsid w:val="53834A06"/>
    <w:rsid w:val="538561AD"/>
    <w:rsid w:val="538E09E1"/>
    <w:rsid w:val="538E5026"/>
    <w:rsid w:val="538E7CC4"/>
    <w:rsid w:val="53971434"/>
    <w:rsid w:val="53991236"/>
    <w:rsid w:val="539B3C8B"/>
    <w:rsid w:val="539C7078"/>
    <w:rsid w:val="53A02A86"/>
    <w:rsid w:val="53A72544"/>
    <w:rsid w:val="53A77C74"/>
    <w:rsid w:val="53AF09BF"/>
    <w:rsid w:val="53B22F29"/>
    <w:rsid w:val="53B44BE5"/>
    <w:rsid w:val="53B91637"/>
    <w:rsid w:val="53C55238"/>
    <w:rsid w:val="53C868EF"/>
    <w:rsid w:val="53D266FC"/>
    <w:rsid w:val="53E07A97"/>
    <w:rsid w:val="53E11A8B"/>
    <w:rsid w:val="53E76FA2"/>
    <w:rsid w:val="53E917BB"/>
    <w:rsid w:val="53EA309F"/>
    <w:rsid w:val="53EF2D21"/>
    <w:rsid w:val="53F20560"/>
    <w:rsid w:val="53FB159C"/>
    <w:rsid w:val="53FD32A9"/>
    <w:rsid w:val="54145AEA"/>
    <w:rsid w:val="54217186"/>
    <w:rsid w:val="54236755"/>
    <w:rsid w:val="54274C85"/>
    <w:rsid w:val="54476405"/>
    <w:rsid w:val="544A4C08"/>
    <w:rsid w:val="54506DDC"/>
    <w:rsid w:val="54593397"/>
    <w:rsid w:val="546553D7"/>
    <w:rsid w:val="546668F9"/>
    <w:rsid w:val="5470356B"/>
    <w:rsid w:val="54757769"/>
    <w:rsid w:val="54767B5A"/>
    <w:rsid w:val="54780E5C"/>
    <w:rsid w:val="547B346F"/>
    <w:rsid w:val="54804A72"/>
    <w:rsid w:val="54847470"/>
    <w:rsid w:val="54861354"/>
    <w:rsid w:val="548732B3"/>
    <w:rsid w:val="548E3B03"/>
    <w:rsid w:val="54991F07"/>
    <w:rsid w:val="549F3706"/>
    <w:rsid w:val="54A14735"/>
    <w:rsid w:val="54A33638"/>
    <w:rsid w:val="54AD07B4"/>
    <w:rsid w:val="54AE223F"/>
    <w:rsid w:val="54C46BA4"/>
    <w:rsid w:val="54C833A7"/>
    <w:rsid w:val="54C847A3"/>
    <w:rsid w:val="54CF1030"/>
    <w:rsid w:val="54CF5996"/>
    <w:rsid w:val="54D648BB"/>
    <w:rsid w:val="54F01AAB"/>
    <w:rsid w:val="54F35E4D"/>
    <w:rsid w:val="54F5463A"/>
    <w:rsid w:val="54FC2916"/>
    <w:rsid w:val="550707FE"/>
    <w:rsid w:val="550B5E81"/>
    <w:rsid w:val="550D690C"/>
    <w:rsid w:val="550F33AD"/>
    <w:rsid w:val="55186ABD"/>
    <w:rsid w:val="551D0740"/>
    <w:rsid w:val="55247645"/>
    <w:rsid w:val="5530385A"/>
    <w:rsid w:val="554B3DA1"/>
    <w:rsid w:val="554F14D4"/>
    <w:rsid w:val="555C64C7"/>
    <w:rsid w:val="55700D66"/>
    <w:rsid w:val="55734560"/>
    <w:rsid w:val="55743FA3"/>
    <w:rsid w:val="55762FBE"/>
    <w:rsid w:val="557F50D4"/>
    <w:rsid w:val="558B1293"/>
    <w:rsid w:val="5593415D"/>
    <w:rsid w:val="55947F25"/>
    <w:rsid w:val="559D089E"/>
    <w:rsid w:val="55A37861"/>
    <w:rsid w:val="55A66C77"/>
    <w:rsid w:val="55B0398E"/>
    <w:rsid w:val="55B41D2B"/>
    <w:rsid w:val="55B71853"/>
    <w:rsid w:val="55BA5B0E"/>
    <w:rsid w:val="55BC483E"/>
    <w:rsid w:val="55BE3D66"/>
    <w:rsid w:val="55C67DDE"/>
    <w:rsid w:val="55C70A81"/>
    <w:rsid w:val="55C8019F"/>
    <w:rsid w:val="55C864CF"/>
    <w:rsid w:val="55CD0614"/>
    <w:rsid w:val="55CD4EFD"/>
    <w:rsid w:val="55D04211"/>
    <w:rsid w:val="55E176BC"/>
    <w:rsid w:val="55E34DF9"/>
    <w:rsid w:val="55E855BB"/>
    <w:rsid w:val="55ED3B9D"/>
    <w:rsid w:val="55FD5EA1"/>
    <w:rsid w:val="55FF0520"/>
    <w:rsid w:val="560165A7"/>
    <w:rsid w:val="56061BCF"/>
    <w:rsid w:val="560A35D1"/>
    <w:rsid w:val="561016DD"/>
    <w:rsid w:val="56133B81"/>
    <w:rsid w:val="56161340"/>
    <w:rsid w:val="56194095"/>
    <w:rsid w:val="561C28F3"/>
    <w:rsid w:val="56217DE0"/>
    <w:rsid w:val="56241707"/>
    <w:rsid w:val="562F2938"/>
    <w:rsid w:val="56411C34"/>
    <w:rsid w:val="56493372"/>
    <w:rsid w:val="564A48A2"/>
    <w:rsid w:val="564B6409"/>
    <w:rsid w:val="564C23E5"/>
    <w:rsid w:val="566905C0"/>
    <w:rsid w:val="56691917"/>
    <w:rsid w:val="56691EC2"/>
    <w:rsid w:val="566D67A5"/>
    <w:rsid w:val="5672694B"/>
    <w:rsid w:val="567411F7"/>
    <w:rsid w:val="5678557E"/>
    <w:rsid w:val="567C4D5B"/>
    <w:rsid w:val="568C1291"/>
    <w:rsid w:val="56917A2B"/>
    <w:rsid w:val="5692344F"/>
    <w:rsid w:val="5695235E"/>
    <w:rsid w:val="569E330B"/>
    <w:rsid w:val="56A579C1"/>
    <w:rsid w:val="56A73E8C"/>
    <w:rsid w:val="56BA2F90"/>
    <w:rsid w:val="56BF0923"/>
    <w:rsid w:val="56C77B16"/>
    <w:rsid w:val="56CD1EEC"/>
    <w:rsid w:val="56D02CCB"/>
    <w:rsid w:val="56D93607"/>
    <w:rsid w:val="56DF365F"/>
    <w:rsid w:val="56E12B9C"/>
    <w:rsid w:val="56E93892"/>
    <w:rsid w:val="56F1025B"/>
    <w:rsid w:val="56FA6A52"/>
    <w:rsid w:val="56FC704A"/>
    <w:rsid w:val="56FF0A48"/>
    <w:rsid w:val="57027CD2"/>
    <w:rsid w:val="57035EED"/>
    <w:rsid w:val="5706496D"/>
    <w:rsid w:val="57094940"/>
    <w:rsid w:val="570B2ADE"/>
    <w:rsid w:val="570E36A0"/>
    <w:rsid w:val="571F26FB"/>
    <w:rsid w:val="57243566"/>
    <w:rsid w:val="57295110"/>
    <w:rsid w:val="57324EC5"/>
    <w:rsid w:val="573C5201"/>
    <w:rsid w:val="574231DC"/>
    <w:rsid w:val="574605CE"/>
    <w:rsid w:val="574E5F61"/>
    <w:rsid w:val="575C12F3"/>
    <w:rsid w:val="57622C97"/>
    <w:rsid w:val="576A19CF"/>
    <w:rsid w:val="576B0A2A"/>
    <w:rsid w:val="57701F7D"/>
    <w:rsid w:val="57752FF6"/>
    <w:rsid w:val="577B4BE4"/>
    <w:rsid w:val="577F6B72"/>
    <w:rsid w:val="5780067D"/>
    <w:rsid w:val="57820E6A"/>
    <w:rsid w:val="578876A8"/>
    <w:rsid w:val="578961BE"/>
    <w:rsid w:val="5792293B"/>
    <w:rsid w:val="57924C6A"/>
    <w:rsid w:val="579357C9"/>
    <w:rsid w:val="579421F1"/>
    <w:rsid w:val="579F20DE"/>
    <w:rsid w:val="57A44E63"/>
    <w:rsid w:val="57A73DAD"/>
    <w:rsid w:val="57AC7852"/>
    <w:rsid w:val="57AD6BD9"/>
    <w:rsid w:val="57B22999"/>
    <w:rsid w:val="57BC3F33"/>
    <w:rsid w:val="57BF2AF6"/>
    <w:rsid w:val="57C67750"/>
    <w:rsid w:val="57CB1AD8"/>
    <w:rsid w:val="57D84619"/>
    <w:rsid w:val="57E0669D"/>
    <w:rsid w:val="57EB37D9"/>
    <w:rsid w:val="57EE0532"/>
    <w:rsid w:val="57F377B8"/>
    <w:rsid w:val="580076D1"/>
    <w:rsid w:val="580402F6"/>
    <w:rsid w:val="58050498"/>
    <w:rsid w:val="5807127B"/>
    <w:rsid w:val="580D032C"/>
    <w:rsid w:val="5813271C"/>
    <w:rsid w:val="58134A63"/>
    <w:rsid w:val="58155B8C"/>
    <w:rsid w:val="5817178A"/>
    <w:rsid w:val="58180911"/>
    <w:rsid w:val="58180C9D"/>
    <w:rsid w:val="581833DA"/>
    <w:rsid w:val="581A06AB"/>
    <w:rsid w:val="581D75EC"/>
    <w:rsid w:val="582300FB"/>
    <w:rsid w:val="582849DC"/>
    <w:rsid w:val="58320C58"/>
    <w:rsid w:val="58395E0B"/>
    <w:rsid w:val="584005E4"/>
    <w:rsid w:val="584447B2"/>
    <w:rsid w:val="584470F6"/>
    <w:rsid w:val="58472D11"/>
    <w:rsid w:val="584A466F"/>
    <w:rsid w:val="584B4DEE"/>
    <w:rsid w:val="584C28F2"/>
    <w:rsid w:val="584E1DBB"/>
    <w:rsid w:val="58577098"/>
    <w:rsid w:val="586801FF"/>
    <w:rsid w:val="586C7123"/>
    <w:rsid w:val="586D2FE5"/>
    <w:rsid w:val="586F3282"/>
    <w:rsid w:val="58707971"/>
    <w:rsid w:val="5879384B"/>
    <w:rsid w:val="587A5B0E"/>
    <w:rsid w:val="587B3E51"/>
    <w:rsid w:val="587F2ECA"/>
    <w:rsid w:val="58825F3D"/>
    <w:rsid w:val="58987578"/>
    <w:rsid w:val="58993447"/>
    <w:rsid w:val="589B3E2C"/>
    <w:rsid w:val="589E237F"/>
    <w:rsid w:val="58A05023"/>
    <w:rsid w:val="58A34CC8"/>
    <w:rsid w:val="58A527F1"/>
    <w:rsid w:val="58A528F9"/>
    <w:rsid w:val="58A62834"/>
    <w:rsid w:val="58A7423C"/>
    <w:rsid w:val="58A7447B"/>
    <w:rsid w:val="58A92E3F"/>
    <w:rsid w:val="58AB2633"/>
    <w:rsid w:val="58AE6D9D"/>
    <w:rsid w:val="58AF3F48"/>
    <w:rsid w:val="58B05BF6"/>
    <w:rsid w:val="58B70BDB"/>
    <w:rsid w:val="58BE585C"/>
    <w:rsid w:val="58DF2970"/>
    <w:rsid w:val="58DF51D7"/>
    <w:rsid w:val="58E8304F"/>
    <w:rsid w:val="58EA1355"/>
    <w:rsid w:val="58ED302F"/>
    <w:rsid w:val="58ED3370"/>
    <w:rsid w:val="58EE0D1B"/>
    <w:rsid w:val="58F13AC3"/>
    <w:rsid w:val="58F8443C"/>
    <w:rsid w:val="58FC32C0"/>
    <w:rsid w:val="59004FBD"/>
    <w:rsid w:val="59005E04"/>
    <w:rsid w:val="59034C48"/>
    <w:rsid w:val="590376F1"/>
    <w:rsid w:val="590774A5"/>
    <w:rsid w:val="59092CC9"/>
    <w:rsid w:val="591112FB"/>
    <w:rsid w:val="59131161"/>
    <w:rsid w:val="591B3A24"/>
    <w:rsid w:val="592C0FC2"/>
    <w:rsid w:val="592D05D9"/>
    <w:rsid w:val="59377172"/>
    <w:rsid w:val="593C2B71"/>
    <w:rsid w:val="593E283D"/>
    <w:rsid w:val="593E7BFC"/>
    <w:rsid w:val="5941256D"/>
    <w:rsid w:val="594A4D8A"/>
    <w:rsid w:val="594B27B0"/>
    <w:rsid w:val="594E249C"/>
    <w:rsid w:val="59526DE3"/>
    <w:rsid w:val="5954370A"/>
    <w:rsid w:val="59552C52"/>
    <w:rsid w:val="595C551D"/>
    <w:rsid w:val="5961412A"/>
    <w:rsid w:val="59701E4C"/>
    <w:rsid w:val="59752B5E"/>
    <w:rsid w:val="597C1CCF"/>
    <w:rsid w:val="59823EDF"/>
    <w:rsid w:val="59840DA6"/>
    <w:rsid w:val="598474ED"/>
    <w:rsid w:val="598F3CB6"/>
    <w:rsid w:val="59A43763"/>
    <w:rsid w:val="59B7196E"/>
    <w:rsid w:val="59C24E59"/>
    <w:rsid w:val="59CA56D0"/>
    <w:rsid w:val="59CB511B"/>
    <w:rsid w:val="59D0582B"/>
    <w:rsid w:val="59DB48E0"/>
    <w:rsid w:val="59E247C9"/>
    <w:rsid w:val="59E53951"/>
    <w:rsid w:val="59E90060"/>
    <w:rsid w:val="59EA0752"/>
    <w:rsid w:val="59EB374E"/>
    <w:rsid w:val="59EC2E15"/>
    <w:rsid w:val="59EF5EAE"/>
    <w:rsid w:val="59F026ED"/>
    <w:rsid w:val="59F04BC2"/>
    <w:rsid w:val="59F17C4A"/>
    <w:rsid w:val="59F73517"/>
    <w:rsid w:val="5A0A60C0"/>
    <w:rsid w:val="5A0A6F73"/>
    <w:rsid w:val="5A14530D"/>
    <w:rsid w:val="5A1C10A8"/>
    <w:rsid w:val="5A207B5B"/>
    <w:rsid w:val="5A24468D"/>
    <w:rsid w:val="5A333CC8"/>
    <w:rsid w:val="5A437FD5"/>
    <w:rsid w:val="5A50443E"/>
    <w:rsid w:val="5A600C42"/>
    <w:rsid w:val="5A656512"/>
    <w:rsid w:val="5A73126E"/>
    <w:rsid w:val="5A745989"/>
    <w:rsid w:val="5A78774D"/>
    <w:rsid w:val="5A88091E"/>
    <w:rsid w:val="5A912517"/>
    <w:rsid w:val="5A940D7E"/>
    <w:rsid w:val="5A971553"/>
    <w:rsid w:val="5A9F057C"/>
    <w:rsid w:val="5A9F1CCE"/>
    <w:rsid w:val="5A9F46E7"/>
    <w:rsid w:val="5AB63281"/>
    <w:rsid w:val="5AB84C28"/>
    <w:rsid w:val="5ABF4F4C"/>
    <w:rsid w:val="5AC05D26"/>
    <w:rsid w:val="5AC4584F"/>
    <w:rsid w:val="5ACA2F28"/>
    <w:rsid w:val="5ACD6A43"/>
    <w:rsid w:val="5AD5439B"/>
    <w:rsid w:val="5ADB3201"/>
    <w:rsid w:val="5ADC25E8"/>
    <w:rsid w:val="5AE7002E"/>
    <w:rsid w:val="5AE74899"/>
    <w:rsid w:val="5AEA4B3E"/>
    <w:rsid w:val="5AEB0179"/>
    <w:rsid w:val="5AF005A4"/>
    <w:rsid w:val="5AFF18C6"/>
    <w:rsid w:val="5B0406DD"/>
    <w:rsid w:val="5B06197F"/>
    <w:rsid w:val="5B0A7250"/>
    <w:rsid w:val="5B1E4103"/>
    <w:rsid w:val="5B214288"/>
    <w:rsid w:val="5B223CC8"/>
    <w:rsid w:val="5B283F99"/>
    <w:rsid w:val="5B2B6E12"/>
    <w:rsid w:val="5B2E79C5"/>
    <w:rsid w:val="5B3C6B5E"/>
    <w:rsid w:val="5B3E3A20"/>
    <w:rsid w:val="5B402A59"/>
    <w:rsid w:val="5B4723ED"/>
    <w:rsid w:val="5B4E7786"/>
    <w:rsid w:val="5B575869"/>
    <w:rsid w:val="5B5A1E2D"/>
    <w:rsid w:val="5B5A424E"/>
    <w:rsid w:val="5B5E6F70"/>
    <w:rsid w:val="5B6103CF"/>
    <w:rsid w:val="5B651A10"/>
    <w:rsid w:val="5B6A0607"/>
    <w:rsid w:val="5B795118"/>
    <w:rsid w:val="5B7A11D6"/>
    <w:rsid w:val="5B806B0F"/>
    <w:rsid w:val="5B81342F"/>
    <w:rsid w:val="5B814592"/>
    <w:rsid w:val="5B857484"/>
    <w:rsid w:val="5B8E0C80"/>
    <w:rsid w:val="5B91348B"/>
    <w:rsid w:val="5B9639B7"/>
    <w:rsid w:val="5B992565"/>
    <w:rsid w:val="5B9F50DF"/>
    <w:rsid w:val="5BA27132"/>
    <w:rsid w:val="5BA44F13"/>
    <w:rsid w:val="5BA45747"/>
    <w:rsid w:val="5BA6270F"/>
    <w:rsid w:val="5BB62ED4"/>
    <w:rsid w:val="5BB74EB9"/>
    <w:rsid w:val="5BB756E7"/>
    <w:rsid w:val="5BBF27CE"/>
    <w:rsid w:val="5BC07018"/>
    <w:rsid w:val="5BE40E55"/>
    <w:rsid w:val="5BE72C2C"/>
    <w:rsid w:val="5BE90364"/>
    <w:rsid w:val="5BED59B0"/>
    <w:rsid w:val="5BEF09E9"/>
    <w:rsid w:val="5BF06809"/>
    <w:rsid w:val="5BF6776A"/>
    <w:rsid w:val="5C01542C"/>
    <w:rsid w:val="5C047A79"/>
    <w:rsid w:val="5C063A94"/>
    <w:rsid w:val="5C0C0AF8"/>
    <w:rsid w:val="5C14329A"/>
    <w:rsid w:val="5C1615F2"/>
    <w:rsid w:val="5C20040C"/>
    <w:rsid w:val="5C205433"/>
    <w:rsid w:val="5C2209AC"/>
    <w:rsid w:val="5C2349A5"/>
    <w:rsid w:val="5C244958"/>
    <w:rsid w:val="5C2D0223"/>
    <w:rsid w:val="5C2D45DB"/>
    <w:rsid w:val="5C3628B8"/>
    <w:rsid w:val="5C3B0413"/>
    <w:rsid w:val="5C3E42CB"/>
    <w:rsid w:val="5C456AE6"/>
    <w:rsid w:val="5C480675"/>
    <w:rsid w:val="5C4A2F85"/>
    <w:rsid w:val="5C51321D"/>
    <w:rsid w:val="5C62062D"/>
    <w:rsid w:val="5C645C6B"/>
    <w:rsid w:val="5C7A6C80"/>
    <w:rsid w:val="5C7F2383"/>
    <w:rsid w:val="5C8055CA"/>
    <w:rsid w:val="5C8575CC"/>
    <w:rsid w:val="5C8F2968"/>
    <w:rsid w:val="5C915043"/>
    <w:rsid w:val="5C917124"/>
    <w:rsid w:val="5C961890"/>
    <w:rsid w:val="5CA65E11"/>
    <w:rsid w:val="5CAA259C"/>
    <w:rsid w:val="5CAF2E9D"/>
    <w:rsid w:val="5CB14C2F"/>
    <w:rsid w:val="5CB90537"/>
    <w:rsid w:val="5CC54942"/>
    <w:rsid w:val="5CC75DC3"/>
    <w:rsid w:val="5CCA3070"/>
    <w:rsid w:val="5CCC6E74"/>
    <w:rsid w:val="5CD96260"/>
    <w:rsid w:val="5CEB190F"/>
    <w:rsid w:val="5CEB678F"/>
    <w:rsid w:val="5CEE79C8"/>
    <w:rsid w:val="5CFB2990"/>
    <w:rsid w:val="5CFF23B0"/>
    <w:rsid w:val="5D056947"/>
    <w:rsid w:val="5D067999"/>
    <w:rsid w:val="5D08330C"/>
    <w:rsid w:val="5D0C176B"/>
    <w:rsid w:val="5D20721B"/>
    <w:rsid w:val="5D230139"/>
    <w:rsid w:val="5D23771F"/>
    <w:rsid w:val="5D244AB9"/>
    <w:rsid w:val="5D26741D"/>
    <w:rsid w:val="5D3221D3"/>
    <w:rsid w:val="5D331116"/>
    <w:rsid w:val="5D4D0425"/>
    <w:rsid w:val="5D4D4D5C"/>
    <w:rsid w:val="5D52068E"/>
    <w:rsid w:val="5D552841"/>
    <w:rsid w:val="5D585FAB"/>
    <w:rsid w:val="5D611BA5"/>
    <w:rsid w:val="5D680BCA"/>
    <w:rsid w:val="5D6A1F2C"/>
    <w:rsid w:val="5D6C2F3E"/>
    <w:rsid w:val="5D6D2B03"/>
    <w:rsid w:val="5D6D35D3"/>
    <w:rsid w:val="5D704D9C"/>
    <w:rsid w:val="5D72384D"/>
    <w:rsid w:val="5D7412BC"/>
    <w:rsid w:val="5D747763"/>
    <w:rsid w:val="5D761DDE"/>
    <w:rsid w:val="5D8463C8"/>
    <w:rsid w:val="5D897F82"/>
    <w:rsid w:val="5D8A178F"/>
    <w:rsid w:val="5D8B0D60"/>
    <w:rsid w:val="5D9422D0"/>
    <w:rsid w:val="5D951283"/>
    <w:rsid w:val="5D9B029B"/>
    <w:rsid w:val="5D9C21D2"/>
    <w:rsid w:val="5D9E7A68"/>
    <w:rsid w:val="5DA3252C"/>
    <w:rsid w:val="5DA55280"/>
    <w:rsid w:val="5DAD753D"/>
    <w:rsid w:val="5DB657FD"/>
    <w:rsid w:val="5DC14D81"/>
    <w:rsid w:val="5DC15177"/>
    <w:rsid w:val="5DC17E2E"/>
    <w:rsid w:val="5DCE7F23"/>
    <w:rsid w:val="5DD52DDA"/>
    <w:rsid w:val="5DD90BF2"/>
    <w:rsid w:val="5DD9226E"/>
    <w:rsid w:val="5DDF2B1D"/>
    <w:rsid w:val="5DDF5D85"/>
    <w:rsid w:val="5DE7641B"/>
    <w:rsid w:val="5DF10F17"/>
    <w:rsid w:val="5DF778DC"/>
    <w:rsid w:val="5DFA76DF"/>
    <w:rsid w:val="5E003166"/>
    <w:rsid w:val="5E01231B"/>
    <w:rsid w:val="5E070ED0"/>
    <w:rsid w:val="5E09767E"/>
    <w:rsid w:val="5E110CFD"/>
    <w:rsid w:val="5E2777AA"/>
    <w:rsid w:val="5E395576"/>
    <w:rsid w:val="5E4B7572"/>
    <w:rsid w:val="5E4D37C9"/>
    <w:rsid w:val="5E5147A0"/>
    <w:rsid w:val="5E5238CE"/>
    <w:rsid w:val="5E535C7B"/>
    <w:rsid w:val="5E536DF6"/>
    <w:rsid w:val="5E5934A2"/>
    <w:rsid w:val="5E6E7BF7"/>
    <w:rsid w:val="5E734170"/>
    <w:rsid w:val="5E73593F"/>
    <w:rsid w:val="5E7A54D2"/>
    <w:rsid w:val="5E7B340D"/>
    <w:rsid w:val="5E7C120B"/>
    <w:rsid w:val="5E7F5D71"/>
    <w:rsid w:val="5E825CDF"/>
    <w:rsid w:val="5E8D2204"/>
    <w:rsid w:val="5E947079"/>
    <w:rsid w:val="5EAA4712"/>
    <w:rsid w:val="5EB30C0E"/>
    <w:rsid w:val="5EB4699D"/>
    <w:rsid w:val="5EBC14A8"/>
    <w:rsid w:val="5EC0592C"/>
    <w:rsid w:val="5EC256F1"/>
    <w:rsid w:val="5EC3425D"/>
    <w:rsid w:val="5ECB7350"/>
    <w:rsid w:val="5ED34299"/>
    <w:rsid w:val="5ED422B4"/>
    <w:rsid w:val="5ED6575C"/>
    <w:rsid w:val="5EE2369B"/>
    <w:rsid w:val="5EE471BB"/>
    <w:rsid w:val="5EEE70E1"/>
    <w:rsid w:val="5EF22F9C"/>
    <w:rsid w:val="5EF82F5A"/>
    <w:rsid w:val="5F030297"/>
    <w:rsid w:val="5F0327EF"/>
    <w:rsid w:val="5F0920CD"/>
    <w:rsid w:val="5F0F1093"/>
    <w:rsid w:val="5F230CFF"/>
    <w:rsid w:val="5F24591E"/>
    <w:rsid w:val="5F257F6D"/>
    <w:rsid w:val="5F315E9C"/>
    <w:rsid w:val="5F427DC1"/>
    <w:rsid w:val="5F4E54EE"/>
    <w:rsid w:val="5F4F5887"/>
    <w:rsid w:val="5F4F662A"/>
    <w:rsid w:val="5F520122"/>
    <w:rsid w:val="5F53180D"/>
    <w:rsid w:val="5F561E77"/>
    <w:rsid w:val="5F5C6B8A"/>
    <w:rsid w:val="5F621DDA"/>
    <w:rsid w:val="5F6A5047"/>
    <w:rsid w:val="5F7C060A"/>
    <w:rsid w:val="5F8A6F5A"/>
    <w:rsid w:val="5F8F5746"/>
    <w:rsid w:val="5F904E62"/>
    <w:rsid w:val="5FAF4831"/>
    <w:rsid w:val="5FB046C3"/>
    <w:rsid w:val="5FBC34AC"/>
    <w:rsid w:val="5FC01F03"/>
    <w:rsid w:val="5FC66523"/>
    <w:rsid w:val="5FCD448F"/>
    <w:rsid w:val="5FD12FDA"/>
    <w:rsid w:val="5FD614CB"/>
    <w:rsid w:val="5FDE6D70"/>
    <w:rsid w:val="5FE1785D"/>
    <w:rsid w:val="5FE21DAC"/>
    <w:rsid w:val="5FF21A53"/>
    <w:rsid w:val="5FFA51F8"/>
    <w:rsid w:val="5FFC4672"/>
    <w:rsid w:val="5FFD59BE"/>
    <w:rsid w:val="60073C43"/>
    <w:rsid w:val="600935D0"/>
    <w:rsid w:val="6010013D"/>
    <w:rsid w:val="60140E61"/>
    <w:rsid w:val="60170282"/>
    <w:rsid w:val="601D7D29"/>
    <w:rsid w:val="602829F5"/>
    <w:rsid w:val="60307F48"/>
    <w:rsid w:val="60312F9F"/>
    <w:rsid w:val="60320303"/>
    <w:rsid w:val="6034704E"/>
    <w:rsid w:val="603668A7"/>
    <w:rsid w:val="60394841"/>
    <w:rsid w:val="603E652D"/>
    <w:rsid w:val="604C5532"/>
    <w:rsid w:val="604C7A26"/>
    <w:rsid w:val="60521371"/>
    <w:rsid w:val="6053126D"/>
    <w:rsid w:val="605565F4"/>
    <w:rsid w:val="60643058"/>
    <w:rsid w:val="606844C2"/>
    <w:rsid w:val="606958F6"/>
    <w:rsid w:val="606C7C0A"/>
    <w:rsid w:val="60767F5B"/>
    <w:rsid w:val="60877F74"/>
    <w:rsid w:val="608A7631"/>
    <w:rsid w:val="608E0866"/>
    <w:rsid w:val="60912131"/>
    <w:rsid w:val="60A50C2E"/>
    <w:rsid w:val="60B437E4"/>
    <w:rsid w:val="60B45C0B"/>
    <w:rsid w:val="60B52475"/>
    <w:rsid w:val="60C238D3"/>
    <w:rsid w:val="60C31757"/>
    <w:rsid w:val="60D731F9"/>
    <w:rsid w:val="60DB25A2"/>
    <w:rsid w:val="60DD083C"/>
    <w:rsid w:val="60DD2497"/>
    <w:rsid w:val="60DF062C"/>
    <w:rsid w:val="60E143F9"/>
    <w:rsid w:val="60E30E22"/>
    <w:rsid w:val="60E80F88"/>
    <w:rsid w:val="60F63DF1"/>
    <w:rsid w:val="60F97D92"/>
    <w:rsid w:val="60FE2AFE"/>
    <w:rsid w:val="61031F35"/>
    <w:rsid w:val="611463F3"/>
    <w:rsid w:val="611505AA"/>
    <w:rsid w:val="611A3745"/>
    <w:rsid w:val="612553C6"/>
    <w:rsid w:val="612A1343"/>
    <w:rsid w:val="612E7AEC"/>
    <w:rsid w:val="613D5A55"/>
    <w:rsid w:val="614670C7"/>
    <w:rsid w:val="61473C53"/>
    <w:rsid w:val="6150475C"/>
    <w:rsid w:val="61560F64"/>
    <w:rsid w:val="615760D0"/>
    <w:rsid w:val="61657201"/>
    <w:rsid w:val="617937E1"/>
    <w:rsid w:val="617B063B"/>
    <w:rsid w:val="61894395"/>
    <w:rsid w:val="618A2FA4"/>
    <w:rsid w:val="619625EA"/>
    <w:rsid w:val="619C7970"/>
    <w:rsid w:val="61A274BD"/>
    <w:rsid w:val="61AF4211"/>
    <w:rsid w:val="61BA6334"/>
    <w:rsid w:val="61BE52A5"/>
    <w:rsid w:val="61C14432"/>
    <w:rsid w:val="61C464F7"/>
    <w:rsid w:val="61C92D5F"/>
    <w:rsid w:val="61CA425C"/>
    <w:rsid w:val="61D16D0D"/>
    <w:rsid w:val="61D34A69"/>
    <w:rsid w:val="61D45CF1"/>
    <w:rsid w:val="61D71F16"/>
    <w:rsid w:val="61E96940"/>
    <w:rsid w:val="61EE2714"/>
    <w:rsid w:val="61F41B47"/>
    <w:rsid w:val="61FA0038"/>
    <w:rsid w:val="620C6EB1"/>
    <w:rsid w:val="62110BCD"/>
    <w:rsid w:val="62124C11"/>
    <w:rsid w:val="621566A0"/>
    <w:rsid w:val="62197D96"/>
    <w:rsid w:val="621D6753"/>
    <w:rsid w:val="62216CE9"/>
    <w:rsid w:val="62293CB7"/>
    <w:rsid w:val="622A5454"/>
    <w:rsid w:val="62340EEA"/>
    <w:rsid w:val="623922F9"/>
    <w:rsid w:val="623E52C3"/>
    <w:rsid w:val="623E733C"/>
    <w:rsid w:val="6246058C"/>
    <w:rsid w:val="624B4737"/>
    <w:rsid w:val="624B5331"/>
    <w:rsid w:val="624C1083"/>
    <w:rsid w:val="624C58C7"/>
    <w:rsid w:val="624E466B"/>
    <w:rsid w:val="6251635C"/>
    <w:rsid w:val="625313F9"/>
    <w:rsid w:val="62545460"/>
    <w:rsid w:val="625635A8"/>
    <w:rsid w:val="625A15C1"/>
    <w:rsid w:val="625B6E46"/>
    <w:rsid w:val="62654FFD"/>
    <w:rsid w:val="627737E5"/>
    <w:rsid w:val="62776BEA"/>
    <w:rsid w:val="627B4B85"/>
    <w:rsid w:val="627C4D85"/>
    <w:rsid w:val="62800E1B"/>
    <w:rsid w:val="62875E14"/>
    <w:rsid w:val="62893325"/>
    <w:rsid w:val="628E1D53"/>
    <w:rsid w:val="628F2A56"/>
    <w:rsid w:val="62AB7A36"/>
    <w:rsid w:val="62AC599A"/>
    <w:rsid w:val="62B40FE0"/>
    <w:rsid w:val="62B90F67"/>
    <w:rsid w:val="62CF23E0"/>
    <w:rsid w:val="62D72C98"/>
    <w:rsid w:val="62D8535D"/>
    <w:rsid w:val="62D92168"/>
    <w:rsid w:val="62E42B5C"/>
    <w:rsid w:val="62E7686E"/>
    <w:rsid w:val="62EB29AE"/>
    <w:rsid w:val="62ED6955"/>
    <w:rsid w:val="62EF2C6C"/>
    <w:rsid w:val="62F15F08"/>
    <w:rsid w:val="62F25193"/>
    <w:rsid w:val="62F32B36"/>
    <w:rsid w:val="62F55CCF"/>
    <w:rsid w:val="62F75AD7"/>
    <w:rsid w:val="62F8639A"/>
    <w:rsid w:val="62FA5732"/>
    <w:rsid w:val="62FC14EB"/>
    <w:rsid w:val="62FE2F30"/>
    <w:rsid w:val="63027A9A"/>
    <w:rsid w:val="630D0DE8"/>
    <w:rsid w:val="631D0ACE"/>
    <w:rsid w:val="63235859"/>
    <w:rsid w:val="63276CF9"/>
    <w:rsid w:val="6329313E"/>
    <w:rsid w:val="6329417E"/>
    <w:rsid w:val="63355008"/>
    <w:rsid w:val="633B238B"/>
    <w:rsid w:val="633C32A8"/>
    <w:rsid w:val="63413696"/>
    <w:rsid w:val="6341451A"/>
    <w:rsid w:val="634755F0"/>
    <w:rsid w:val="63482FC2"/>
    <w:rsid w:val="63487275"/>
    <w:rsid w:val="634B6E78"/>
    <w:rsid w:val="634F6CE1"/>
    <w:rsid w:val="636A2A6B"/>
    <w:rsid w:val="637138D5"/>
    <w:rsid w:val="63722A82"/>
    <w:rsid w:val="63743B78"/>
    <w:rsid w:val="637C0291"/>
    <w:rsid w:val="637D0D96"/>
    <w:rsid w:val="637F272D"/>
    <w:rsid w:val="63826F7C"/>
    <w:rsid w:val="63912F08"/>
    <w:rsid w:val="63935A41"/>
    <w:rsid w:val="639375A1"/>
    <w:rsid w:val="6397068E"/>
    <w:rsid w:val="639A2CE6"/>
    <w:rsid w:val="639E7F5C"/>
    <w:rsid w:val="63AE7E6F"/>
    <w:rsid w:val="63B32361"/>
    <w:rsid w:val="63C505E4"/>
    <w:rsid w:val="63C947C3"/>
    <w:rsid w:val="63CF1AAF"/>
    <w:rsid w:val="63D4270E"/>
    <w:rsid w:val="63D93238"/>
    <w:rsid w:val="63E031DA"/>
    <w:rsid w:val="63E445DE"/>
    <w:rsid w:val="63ED02CA"/>
    <w:rsid w:val="63ED2C02"/>
    <w:rsid w:val="63F54ED3"/>
    <w:rsid w:val="63F73630"/>
    <w:rsid w:val="63FC0596"/>
    <w:rsid w:val="63FD7456"/>
    <w:rsid w:val="640A5C7F"/>
    <w:rsid w:val="640C43C9"/>
    <w:rsid w:val="6411638D"/>
    <w:rsid w:val="64130626"/>
    <w:rsid w:val="641415B2"/>
    <w:rsid w:val="641446DF"/>
    <w:rsid w:val="64157459"/>
    <w:rsid w:val="64184AE0"/>
    <w:rsid w:val="64194252"/>
    <w:rsid w:val="64196CA2"/>
    <w:rsid w:val="64273E4E"/>
    <w:rsid w:val="642A5519"/>
    <w:rsid w:val="642D54C7"/>
    <w:rsid w:val="642F196E"/>
    <w:rsid w:val="64351BCA"/>
    <w:rsid w:val="64385604"/>
    <w:rsid w:val="644305D1"/>
    <w:rsid w:val="64440AE6"/>
    <w:rsid w:val="644556F2"/>
    <w:rsid w:val="644D39FD"/>
    <w:rsid w:val="644E7E38"/>
    <w:rsid w:val="64534CE0"/>
    <w:rsid w:val="64584A87"/>
    <w:rsid w:val="645E0F7C"/>
    <w:rsid w:val="6465050D"/>
    <w:rsid w:val="646D47CA"/>
    <w:rsid w:val="6473373A"/>
    <w:rsid w:val="6474741F"/>
    <w:rsid w:val="647F40FE"/>
    <w:rsid w:val="64802C6C"/>
    <w:rsid w:val="64833079"/>
    <w:rsid w:val="648A40AF"/>
    <w:rsid w:val="64944850"/>
    <w:rsid w:val="649E16A3"/>
    <w:rsid w:val="64A618C9"/>
    <w:rsid w:val="64A942B1"/>
    <w:rsid w:val="64AD2FC1"/>
    <w:rsid w:val="64AE29B8"/>
    <w:rsid w:val="64B92025"/>
    <w:rsid w:val="64B94CF3"/>
    <w:rsid w:val="64BD5091"/>
    <w:rsid w:val="64BF6A42"/>
    <w:rsid w:val="64C2164A"/>
    <w:rsid w:val="64C41713"/>
    <w:rsid w:val="64D30B05"/>
    <w:rsid w:val="64D57EDF"/>
    <w:rsid w:val="64DA4D7D"/>
    <w:rsid w:val="64DD6B00"/>
    <w:rsid w:val="64DF0CAB"/>
    <w:rsid w:val="64E1744F"/>
    <w:rsid w:val="64E24768"/>
    <w:rsid w:val="64E65A3A"/>
    <w:rsid w:val="64FC10A7"/>
    <w:rsid w:val="64FC5565"/>
    <w:rsid w:val="650335CB"/>
    <w:rsid w:val="650357A9"/>
    <w:rsid w:val="65067294"/>
    <w:rsid w:val="650C6000"/>
    <w:rsid w:val="65103DC4"/>
    <w:rsid w:val="651700E7"/>
    <w:rsid w:val="651F7DDC"/>
    <w:rsid w:val="652050E8"/>
    <w:rsid w:val="652205E7"/>
    <w:rsid w:val="652F3489"/>
    <w:rsid w:val="65334779"/>
    <w:rsid w:val="65385D9F"/>
    <w:rsid w:val="65397F9E"/>
    <w:rsid w:val="65460012"/>
    <w:rsid w:val="6548279B"/>
    <w:rsid w:val="654D0559"/>
    <w:rsid w:val="6558559B"/>
    <w:rsid w:val="655D6825"/>
    <w:rsid w:val="65607726"/>
    <w:rsid w:val="65671035"/>
    <w:rsid w:val="656B4492"/>
    <w:rsid w:val="656E50E0"/>
    <w:rsid w:val="6570222D"/>
    <w:rsid w:val="65743BA7"/>
    <w:rsid w:val="65751B94"/>
    <w:rsid w:val="657A799F"/>
    <w:rsid w:val="657F3191"/>
    <w:rsid w:val="658625A8"/>
    <w:rsid w:val="65863920"/>
    <w:rsid w:val="658A0CA3"/>
    <w:rsid w:val="65905ABD"/>
    <w:rsid w:val="659A705C"/>
    <w:rsid w:val="659E3BEC"/>
    <w:rsid w:val="65A405E4"/>
    <w:rsid w:val="65AA3772"/>
    <w:rsid w:val="65BB27FC"/>
    <w:rsid w:val="65BB3C64"/>
    <w:rsid w:val="65BB3EE4"/>
    <w:rsid w:val="65BC0577"/>
    <w:rsid w:val="65BD383E"/>
    <w:rsid w:val="65BD7B03"/>
    <w:rsid w:val="65C51B90"/>
    <w:rsid w:val="65C979D2"/>
    <w:rsid w:val="65CA4E92"/>
    <w:rsid w:val="65CB06AB"/>
    <w:rsid w:val="65CE3BE5"/>
    <w:rsid w:val="65D2700A"/>
    <w:rsid w:val="65D61449"/>
    <w:rsid w:val="65D80F07"/>
    <w:rsid w:val="65DD2007"/>
    <w:rsid w:val="65DD410F"/>
    <w:rsid w:val="65DE1C25"/>
    <w:rsid w:val="65E0595D"/>
    <w:rsid w:val="65E06CEB"/>
    <w:rsid w:val="65E700CA"/>
    <w:rsid w:val="65F53B7E"/>
    <w:rsid w:val="65F56DD4"/>
    <w:rsid w:val="6601602E"/>
    <w:rsid w:val="66160364"/>
    <w:rsid w:val="66161903"/>
    <w:rsid w:val="662043AF"/>
    <w:rsid w:val="6624387D"/>
    <w:rsid w:val="662E1FC8"/>
    <w:rsid w:val="66364B47"/>
    <w:rsid w:val="66375CC2"/>
    <w:rsid w:val="66383184"/>
    <w:rsid w:val="663C05CD"/>
    <w:rsid w:val="66426252"/>
    <w:rsid w:val="664A70EB"/>
    <w:rsid w:val="664B0EFE"/>
    <w:rsid w:val="664C23E3"/>
    <w:rsid w:val="665170BD"/>
    <w:rsid w:val="665A60B0"/>
    <w:rsid w:val="665A7E66"/>
    <w:rsid w:val="665E07B7"/>
    <w:rsid w:val="665F639C"/>
    <w:rsid w:val="66657A81"/>
    <w:rsid w:val="666E3446"/>
    <w:rsid w:val="666F023F"/>
    <w:rsid w:val="667201B5"/>
    <w:rsid w:val="667207E2"/>
    <w:rsid w:val="667539FE"/>
    <w:rsid w:val="667567D5"/>
    <w:rsid w:val="66761DB5"/>
    <w:rsid w:val="6676599D"/>
    <w:rsid w:val="66785E37"/>
    <w:rsid w:val="66793D8F"/>
    <w:rsid w:val="66843EBE"/>
    <w:rsid w:val="668872AC"/>
    <w:rsid w:val="669509F8"/>
    <w:rsid w:val="66983800"/>
    <w:rsid w:val="669C4FED"/>
    <w:rsid w:val="669F0178"/>
    <w:rsid w:val="669F6B14"/>
    <w:rsid w:val="66A14642"/>
    <w:rsid w:val="66A81C99"/>
    <w:rsid w:val="66B15494"/>
    <w:rsid w:val="66B15E34"/>
    <w:rsid w:val="66B50D9F"/>
    <w:rsid w:val="66BB6B50"/>
    <w:rsid w:val="66C13A86"/>
    <w:rsid w:val="66C607D8"/>
    <w:rsid w:val="66CD0245"/>
    <w:rsid w:val="66D536A9"/>
    <w:rsid w:val="66E239BE"/>
    <w:rsid w:val="66E63546"/>
    <w:rsid w:val="66F508EF"/>
    <w:rsid w:val="66FC1CDE"/>
    <w:rsid w:val="66FF7CBD"/>
    <w:rsid w:val="67007773"/>
    <w:rsid w:val="670A1E18"/>
    <w:rsid w:val="670B0EB8"/>
    <w:rsid w:val="670D67D4"/>
    <w:rsid w:val="6710449D"/>
    <w:rsid w:val="67142AE7"/>
    <w:rsid w:val="67231031"/>
    <w:rsid w:val="672320C1"/>
    <w:rsid w:val="6723789E"/>
    <w:rsid w:val="672D517E"/>
    <w:rsid w:val="672E64C9"/>
    <w:rsid w:val="674111AC"/>
    <w:rsid w:val="67441CF1"/>
    <w:rsid w:val="674C615F"/>
    <w:rsid w:val="674F5777"/>
    <w:rsid w:val="675001B5"/>
    <w:rsid w:val="67505091"/>
    <w:rsid w:val="67516FD8"/>
    <w:rsid w:val="67540863"/>
    <w:rsid w:val="67563FE3"/>
    <w:rsid w:val="675858EE"/>
    <w:rsid w:val="67627AD2"/>
    <w:rsid w:val="676A3B87"/>
    <w:rsid w:val="676B485E"/>
    <w:rsid w:val="676E4F78"/>
    <w:rsid w:val="677449AC"/>
    <w:rsid w:val="677911EC"/>
    <w:rsid w:val="677A0917"/>
    <w:rsid w:val="677A4E9D"/>
    <w:rsid w:val="677C5832"/>
    <w:rsid w:val="677D45DA"/>
    <w:rsid w:val="677F3E90"/>
    <w:rsid w:val="67806C6F"/>
    <w:rsid w:val="6782118A"/>
    <w:rsid w:val="67865938"/>
    <w:rsid w:val="678D26CB"/>
    <w:rsid w:val="6793017D"/>
    <w:rsid w:val="67973300"/>
    <w:rsid w:val="679957CC"/>
    <w:rsid w:val="679C0AF3"/>
    <w:rsid w:val="679C2948"/>
    <w:rsid w:val="67A03DA0"/>
    <w:rsid w:val="67A26160"/>
    <w:rsid w:val="67A26199"/>
    <w:rsid w:val="67A57DA7"/>
    <w:rsid w:val="67A87FD2"/>
    <w:rsid w:val="67B34162"/>
    <w:rsid w:val="67B80ECD"/>
    <w:rsid w:val="67BB4B32"/>
    <w:rsid w:val="67C33FAF"/>
    <w:rsid w:val="67C44A7A"/>
    <w:rsid w:val="67CC2BD1"/>
    <w:rsid w:val="67CF371C"/>
    <w:rsid w:val="67D52421"/>
    <w:rsid w:val="67D6716B"/>
    <w:rsid w:val="67DF5675"/>
    <w:rsid w:val="67EB0B45"/>
    <w:rsid w:val="67EF4892"/>
    <w:rsid w:val="67F10517"/>
    <w:rsid w:val="67FB68A8"/>
    <w:rsid w:val="67FD68D2"/>
    <w:rsid w:val="67FE3FA9"/>
    <w:rsid w:val="68021F9C"/>
    <w:rsid w:val="68087B51"/>
    <w:rsid w:val="68090199"/>
    <w:rsid w:val="68115643"/>
    <w:rsid w:val="681A4A31"/>
    <w:rsid w:val="681A7BFA"/>
    <w:rsid w:val="681E6844"/>
    <w:rsid w:val="68230C61"/>
    <w:rsid w:val="6824258C"/>
    <w:rsid w:val="68244BE8"/>
    <w:rsid w:val="68290671"/>
    <w:rsid w:val="6834498E"/>
    <w:rsid w:val="683A165A"/>
    <w:rsid w:val="6842016C"/>
    <w:rsid w:val="68456EFE"/>
    <w:rsid w:val="684D242D"/>
    <w:rsid w:val="685C3A19"/>
    <w:rsid w:val="6860793D"/>
    <w:rsid w:val="68631728"/>
    <w:rsid w:val="68683E15"/>
    <w:rsid w:val="686862BE"/>
    <w:rsid w:val="686B0F13"/>
    <w:rsid w:val="686C4239"/>
    <w:rsid w:val="68727C87"/>
    <w:rsid w:val="687A0752"/>
    <w:rsid w:val="687A681D"/>
    <w:rsid w:val="687C00FB"/>
    <w:rsid w:val="688A42B3"/>
    <w:rsid w:val="68912AD9"/>
    <w:rsid w:val="6893222C"/>
    <w:rsid w:val="689D445B"/>
    <w:rsid w:val="68A23C70"/>
    <w:rsid w:val="68AB006F"/>
    <w:rsid w:val="68AB24F4"/>
    <w:rsid w:val="68AB6BA9"/>
    <w:rsid w:val="68BC5661"/>
    <w:rsid w:val="68BD1952"/>
    <w:rsid w:val="68C6618F"/>
    <w:rsid w:val="68CA12F4"/>
    <w:rsid w:val="68CB3C28"/>
    <w:rsid w:val="68D03847"/>
    <w:rsid w:val="68D83887"/>
    <w:rsid w:val="68E21E85"/>
    <w:rsid w:val="68FB17D5"/>
    <w:rsid w:val="68FD494D"/>
    <w:rsid w:val="68FE364D"/>
    <w:rsid w:val="69004620"/>
    <w:rsid w:val="690B44E7"/>
    <w:rsid w:val="690D4429"/>
    <w:rsid w:val="690E0307"/>
    <w:rsid w:val="6910757E"/>
    <w:rsid w:val="691554D2"/>
    <w:rsid w:val="691B6CFF"/>
    <w:rsid w:val="693114ED"/>
    <w:rsid w:val="69413050"/>
    <w:rsid w:val="6950103D"/>
    <w:rsid w:val="695252A4"/>
    <w:rsid w:val="69534EAD"/>
    <w:rsid w:val="696065C1"/>
    <w:rsid w:val="6965098A"/>
    <w:rsid w:val="69692E5A"/>
    <w:rsid w:val="69715674"/>
    <w:rsid w:val="69721A8C"/>
    <w:rsid w:val="69763B96"/>
    <w:rsid w:val="69830335"/>
    <w:rsid w:val="698745C5"/>
    <w:rsid w:val="69874672"/>
    <w:rsid w:val="69910FA8"/>
    <w:rsid w:val="69914994"/>
    <w:rsid w:val="6995681A"/>
    <w:rsid w:val="699D29B5"/>
    <w:rsid w:val="699F5081"/>
    <w:rsid w:val="69A36EAD"/>
    <w:rsid w:val="69AF632F"/>
    <w:rsid w:val="69B12A27"/>
    <w:rsid w:val="69B30C8D"/>
    <w:rsid w:val="69B742E6"/>
    <w:rsid w:val="69B97A74"/>
    <w:rsid w:val="69BC13EB"/>
    <w:rsid w:val="69BD61E2"/>
    <w:rsid w:val="69BE0811"/>
    <w:rsid w:val="69C256B8"/>
    <w:rsid w:val="69CB0CD4"/>
    <w:rsid w:val="69D254C1"/>
    <w:rsid w:val="69D8367F"/>
    <w:rsid w:val="69E04A1E"/>
    <w:rsid w:val="69E70576"/>
    <w:rsid w:val="69E71294"/>
    <w:rsid w:val="69ED5B28"/>
    <w:rsid w:val="69F908EC"/>
    <w:rsid w:val="6A0075B1"/>
    <w:rsid w:val="6A0079CF"/>
    <w:rsid w:val="6A0271DD"/>
    <w:rsid w:val="6A05121A"/>
    <w:rsid w:val="6A0B17FC"/>
    <w:rsid w:val="6A0B5D46"/>
    <w:rsid w:val="6A0E1BB3"/>
    <w:rsid w:val="6A0E40B1"/>
    <w:rsid w:val="6A147DE5"/>
    <w:rsid w:val="6A167623"/>
    <w:rsid w:val="6A180516"/>
    <w:rsid w:val="6A1A43A1"/>
    <w:rsid w:val="6A1D2DBC"/>
    <w:rsid w:val="6A2B39D8"/>
    <w:rsid w:val="6A34307B"/>
    <w:rsid w:val="6A3F42A8"/>
    <w:rsid w:val="6A426DCA"/>
    <w:rsid w:val="6A506C6C"/>
    <w:rsid w:val="6A5242BF"/>
    <w:rsid w:val="6A542887"/>
    <w:rsid w:val="6A594032"/>
    <w:rsid w:val="6A5A7C13"/>
    <w:rsid w:val="6A5B779D"/>
    <w:rsid w:val="6A647455"/>
    <w:rsid w:val="6A717A0A"/>
    <w:rsid w:val="6A7605A2"/>
    <w:rsid w:val="6A7828DA"/>
    <w:rsid w:val="6A783C8A"/>
    <w:rsid w:val="6A87351A"/>
    <w:rsid w:val="6A8765FA"/>
    <w:rsid w:val="6A981E30"/>
    <w:rsid w:val="6A9C5006"/>
    <w:rsid w:val="6AA056E6"/>
    <w:rsid w:val="6AA968EB"/>
    <w:rsid w:val="6AB21BD9"/>
    <w:rsid w:val="6ABD4EE1"/>
    <w:rsid w:val="6ACA58A7"/>
    <w:rsid w:val="6ACA5A9D"/>
    <w:rsid w:val="6AD22859"/>
    <w:rsid w:val="6AD627E2"/>
    <w:rsid w:val="6AD64EF3"/>
    <w:rsid w:val="6AD65602"/>
    <w:rsid w:val="6ADA0C33"/>
    <w:rsid w:val="6ADA7F23"/>
    <w:rsid w:val="6ADE56A2"/>
    <w:rsid w:val="6AE243A8"/>
    <w:rsid w:val="6AE569B4"/>
    <w:rsid w:val="6AE633C4"/>
    <w:rsid w:val="6AE979A0"/>
    <w:rsid w:val="6AEE20FC"/>
    <w:rsid w:val="6AF00766"/>
    <w:rsid w:val="6AF333A4"/>
    <w:rsid w:val="6AF67F07"/>
    <w:rsid w:val="6AFD388A"/>
    <w:rsid w:val="6B016494"/>
    <w:rsid w:val="6B03550E"/>
    <w:rsid w:val="6B0479CA"/>
    <w:rsid w:val="6B066406"/>
    <w:rsid w:val="6B07577A"/>
    <w:rsid w:val="6B097841"/>
    <w:rsid w:val="6B105217"/>
    <w:rsid w:val="6B132A3C"/>
    <w:rsid w:val="6B1920EE"/>
    <w:rsid w:val="6B290FDE"/>
    <w:rsid w:val="6B362B70"/>
    <w:rsid w:val="6B366C10"/>
    <w:rsid w:val="6B394372"/>
    <w:rsid w:val="6B3C0302"/>
    <w:rsid w:val="6B423677"/>
    <w:rsid w:val="6B4F3986"/>
    <w:rsid w:val="6B541062"/>
    <w:rsid w:val="6B6241A7"/>
    <w:rsid w:val="6B671110"/>
    <w:rsid w:val="6B6B2F02"/>
    <w:rsid w:val="6B6C1E22"/>
    <w:rsid w:val="6B6D624F"/>
    <w:rsid w:val="6B6E762B"/>
    <w:rsid w:val="6B710E08"/>
    <w:rsid w:val="6B766AE1"/>
    <w:rsid w:val="6B777CC2"/>
    <w:rsid w:val="6B790540"/>
    <w:rsid w:val="6B8A193F"/>
    <w:rsid w:val="6B916944"/>
    <w:rsid w:val="6B97565B"/>
    <w:rsid w:val="6B986115"/>
    <w:rsid w:val="6B9E729D"/>
    <w:rsid w:val="6BAB668E"/>
    <w:rsid w:val="6BB058E6"/>
    <w:rsid w:val="6BB46C89"/>
    <w:rsid w:val="6BBD70C3"/>
    <w:rsid w:val="6BC35FEF"/>
    <w:rsid w:val="6BC81B23"/>
    <w:rsid w:val="6BCE19F9"/>
    <w:rsid w:val="6BCF6E20"/>
    <w:rsid w:val="6BCF79EF"/>
    <w:rsid w:val="6BD0662C"/>
    <w:rsid w:val="6BD42A06"/>
    <w:rsid w:val="6BD975B9"/>
    <w:rsid w:val="6BDB01F7"/>
    <w:rsid w:val="6BDB2717"/>
    <w:rsid w:val="6BDC44EE"/>
    <w:rsid w:val="6BDF0CE3"/>
    <w:rsid w:val="6BEC5DF7"/>
    <w:rsid w:val="6BEE27F8"/>
    <w:rsid w:val="6BEF1CA0"/>
    <w:rsid w:val="6BF5122B"/>
    <w:rsid w:val="6BFB317C"/>
    <w:rsid w:val="6C021F96"/>
    <w:rsid w:val="6C1644CB"/>
    <w:rsid w:val="6C181A25"/>
    <w:rsid w:val="6C190C6E"/>
    <w:rsid w:val="6C1B6F4F"/>
    <w:rsid w:val="6C334D13"/>
    <w:rsid w:val="6C351E3B"/>
    <w:rsid w:val="6C364135"/>
    <w:rsid w:val="6C387891"/>
    <w:rsid w:val="6C394B11"/>
    <w:rsid w:val="6C3D6F40"/>
    <w:rsid w:val="6C3E1F1A"/>
    <w:rsid w:val="6C4F2505"/>
    <w:rsid w:val="6C532A9D"/>
    <w:rsid w:val="6C5676B4"/>
    <w:rsid w:val="6C57699C"/>
    <w:rsid w:val="6C5A7F7F"/>
    <w:rsid w:val="6C7567C0"/>
    <w:rsid w:val="6C783B8B"/>
    <w:rsid w:val="6C8859D6"/>
    <w:rsid w:val="6C8A641C"/>
    <w:rsid w:val="6C8D1A98"/>
    <w:rsid w:val="6C8F759E"/>
    <w:rsid w:val="6C921D5E"/>
    <w:rsid w:val="6CA66751"/>
    <w:rsid w:val="6CAA564F"/>
    <w:rsid w:val="6CB165F9"/>
    <w:rsid w:val="6CBB170A"/>
    <w:rsid w:val="6CBE48F7"/>
    <w:rsid w:val="6CC364DC"/>
    <w:rsid w:val="6CC42554"/>
    <w:rsid w:val="6CC6707D"/>
    <w:rsid w:val="6CC8377B"/>
    <w:rsid w:val="6CC91521"/>
    <w:rsid w:val="6CCE130E"/>
    <w:rsid w:val="6CCE30DB"/>
    <w:rsid w:val="6CCE60CB"/>
    <w:rsid w:val="6CD711A0"/>
    <w:rsid w:val="6CD7422C"/>
    <w:rsid w:val="6CD927AA"/>
    <w:rsid w:val="6CDB43AF"/>
    <w:rsid w:val="6CE423D6"/>
    <w:rsid w:val="6CEA2692"/>
    <w:rsid w:val="6CFE42CF"/>
    <w:rsid w:val="6D08207C"/>
    <w:rsid w:val="6D096DE3"/>
    <w:rsid w:val="6D0C791B"/>
    <w:rsid w:val="6D0F1627"/>
    <w:rsid w:val="6D0F1DE2"/>
    <w:rsid w:val="6D1D3D59"/>
    <w:rsid w:val="6D1F7714"/>
    <w:rsid w:val="6D2347E5"/>
    <w:rsid w:val="6D244EC8"/>
    <w:rsid w:val="6D2F5A11"/>
    <w:rsid w:val="6D302D4F"/>
    <w:rsid w:val="6D334C7C"/>
    <w:rsid w:val="6D383DF8"/>
    <w:rsid w:val="6D3933CD"/>
    <w:rsid w:val="6D3D4021"/>
    <w:rsid w:val="6D4052FC"/>
    <w:rsid w:val="6D411255"/>
    <w:rsid w:val="6D441DF0"/>
    <w:rsid w:val="6D4F7D25"/>
    <w:rsid w:val="6D5959B4"/>
    <w:rsid w:val="6D600B3E"/>
    <w:rsid w:val="6D601271"/>
    <w:rsid w:val="6D616962"/>
    <w:rsid w:val="6D627BE8"/>
    <w:rsid w:val="6D730A2F"/>
    <w:rsid w:val="6D7B5D69"/>
    <w:rsid w:val="6D7F5F6F"/>
    <w:rsid w:val="6D8058C9"/>
    <w:rsid w:val="6D830D15"/>
    <w:rsid w:val="6D8929E1"/>
    <w:rsid w:val="6D8C5AD4"/>
    <w:rsid w:val="6D991049"/>
    <w:rsid w:val="6D9C63F9"/>
    <w:rsid w:val="6DA42494"/>
    <w:rsid w:val="6DA93C4A"/>
    <w:rsid w:val="6DA97DA3"/>
    <w:rsid w:val="6DC21E33"/>
    <w:rsid w:val="6DCB1B5A"/>
    <w:rsid w:val="6DD92F40"/>
    <w:rsid w:val="6DD93FCE"/>
    <w:rsid w:val="6DE13755"/>
    <w:rsid w:val="6DE26580"/>
    <w:rsid w:val="6DE373FD"/>
    <w:rsid w:val="6DE56169"/>
    <w:rsid w:val="6DEB15C9"/>
    <w:rsid w:val="6DF004EC"/>
    <w:rsid w:val="6DFB2277"/>
    <w:rsid w:val="6E0278B7"/>
    <w:rsid w:val="6E055464"/>
    <w:rsid w:val="6E056A0A"/>
    <w:rsid w:val="6E0A782F"/>
    <w:rsid w:val="6E1545BB"/>
    <w:rsid w:val="6E1823F6"/>
    <w:rsid w:val="6E1A1F8F"/>
    <w:rsid w:val="6E246372"/>
    <w:rsid w:val="6E2B4D7F"/>
    <w:rsid w:val="6E306E7A"/>
    <w:rsid w:val="6E3F0453"/>
    <w:rsid w:val="6E40694F"/>
    <w:rsid w:val="6E4A360B"/>
    <w:rsid w:val="6E527318"/>
    <w:rsid w:val="6E533909"/>
    <w:rsid w:val="6E53412D"/>
    <w:rsid w:val="6E5A0C83"/>
    <w:rsid w:val="6E6611C9"/>
    <w:rsid w:val="6E66330B"/>
    <w:rsid w:val="6E734F23"/>
    <w:rsid w:val="6E795374"/>
    <w:rsid w:val="6E7F749B"/>
    <w:rsid w:val="6E8A5749"/>
    <w:rsid w:val="6E8C2D6B"/>
    <w:rsid w:val="6E8D21FE"/>
    <w:rsid w:val="6E8D2D30"/>
    <w:rsid w:val="6E950C08"/>
    <w:rsid w:val="6E994BE6"/>
    <w:rsid w:val="6E9E6595"/>
    <w:rsid w:val="6EA04DB0"/>
    <w:rsid w:val="6EAB7B03"/>
    <w:rsid w:val="6EB46D20"/>
    <w:rsid w:val="6EBB6CA3"/>
    <w:rsid w:val="6ECA68F9"/>
    <w:rsid w:val="6ECB6C0D"/>
    <w:rsid w:val="6ECD55B1"/>
    <w:rsid w:val="6ED06513"/>
    <w:rsid w:val="6ED960D0"/>
    <w:rsid w:val="6EDE5FA9"/>
    <w:rsid w:val="6EDF49C3"/>
    <w:rsid w:val="6EDF550A"/>
    <w:rsid w:val="6EE247A2"/>
    <w:rsid w:val="6EE87298"/>
    <w:rsid w:val="6EF27691"/>
    <w:rsid w:val="6EF41EC8"/>
    <w:rsid w:val="6EF74F71"/>
    <w:rsid w:val="6EFA6A1F"/>
    <w:rsid w:val="6F112D49"/>
    <w:rsid w:val="6F114CDB"/>
    <w:rsid w:val="6F1327E3"/>
    <w:rsid w:val="6F196CD5"/>
    <w:rsid w:val="6F1C0661"/>
    <w:rsid w:val="6F2074B0"/>
    <w:rsid w:val="6F211AE0"/>
    <w:rsid w:val="6F2173A7"/>
    <w:rsid w:val="6F393A2D"/>
    <w:rsid w:val="6F3E6DB3"/>
    <w:rsid w:val="6F4E0D13"/>
    <w:rsid w:val="6F51412C"/>
    <w:rsid w:val="6F5466C9"/>
    <w:rsid w:val="6F55738A"/>
    <w:rsid w:val="6F577157"/>
    <w:rsid w:val="6F5A21F8"/>
    <w:rsid w:val="6F5B51C0"/>
    <w:rsid w:val="6F632A81"/>
    <w:rsid w:val="6F781F28"/>
    <w:rsid w:val="6F7A6CCF"/>
    <w:rsid w:val="6F7B18A9"/>
    <w:rsid w:val="6F7B35DC"/>
    <w:rsid w:val="6F7E0982"/>
    <w:rsid w:val="6F81744C"/>
    <w:rsid w:val="6F834708"/>
    <w:rsid w:val="6F8347E5"/>
    <w:rsid w:val="6F853E06"/>
    <w:rsid w:val="6F876076"/>
    <w:rsid w:val="6F8B3F42"/>
    <w:rsid w:val="6F8B740B"/>
    <w:rsid w:val="6F8D1212"/>
    <w:rsid w:val="6F9922C2"/>
    <w:rsid w:val="6F9927C3"/>
    <w:rsid w:val="6F9C43F1"/>
    <w:rsid w:val="6FA517DA"/>
    <w:rsid w:val="6FA545B5"/>
    <w:rsid w:val="6FA7572E"/>
    <w:rsid w:val="6FAC7DD3"/>
    <w:rsid w:val="6FBA7750"/>
    <w:rsid w:val="6FC6510E"/>
    <w:rsid w:val="6FCE111B"/>
    <w:rsid w:val="6FD0242B"/>
    <w:rsid w:val="6FD6686F"/>
    <w:rsid w:val="6FD955F9"/>
    <w:rsid w:val="6FDF65CF"/>
    <w:rsid w:val="6FE5463B"/>
    <w:rsid w:val="6FE8248C"/>
    <w:rsid w:val="6FE95F3C"/>
    <w:rsid w:val="6FEF7F98"/>
    <w:rsid w:val="6FF23135"/>
    <w:rsid w:val="6FF460CF"/>
    <w:rsid w:val="6FF7503E"/>
    <w:rsid w:val="6FFE1AE2"/>
    <w:rsid w:val="6FFF3870"/>
    <w:rsid w:val="70055C6F"/>
    <w:rsid w:val="700C4F01"/>
    <w:rsid w:val="700E0A44"/>
    <w:rsid w:val="70134132"/>
    <w:rsid w:val="7013470C"/>
    <w:rsid w:val="70173363"/>
    <w:rsid w:val="701B30DD"/>
    <w:rsid w:val="701C032D"/>
    <w:rsid w:val="701F7AD1"/>
    <w:rsid w:val="702039B7"/>
    <w:rsid w:val="7023683F"/>
    <w:rsid w:val="70280859"/>
    <w:rsid w:val="702B28F4"/>
    <w:rsid w:val="702C02D0"/>
    <w:rsid w:val="702D35A7"/>
    <w:rsid w:val="70315BBF"/>
    <w:rsid w:val="70352925"/>
    <w:rsid w:val="70374988"/>
    <w:rsid w:val="703F5ADB"/>
    <w:rsid w:val="70403B57"/>
    <w:rsid w:val="704747EA"/>
    <w:rsid w:val="705051EC"/>
    <w:rsid w:val="70513863"/>
    <w:rsid w:val="7051690F"/>
    <w:rsid w:val="70564366"/>
    <w:rsid w:val="705838E8"/>
    <w:rsid w:val="705B12ED"/>
    <w:rsid w:val="705C76DF"/>
    <w:rsid w:val="70637F71"/>
    <w:rsid w:val="706508DF"/>
    <w:rsid w:val="70654A70"/>
    <w:rsid w:val="706778DE"/>
    <w:rsid w:val="707B17E4"/>
    <w:rsid w:val="707C7F6C"/>
    <w:rsid w:val="7082116B"/>
    <w:rsid w:val="708B7E9C"/>
    <w:rsid w:val="708D1C5E"/>
    <w:rsid w:val="70922765"/>
    <w:rsid w:val="70942298"/>
    <w:rsid w:val="709F6675"/>
    <w:rsid w:val="70A3578E"/>
    <w:rsid w:val="70A659EE"/>
    <w:rsid w:val="70A70AB1"/>
    <w:rsid w:val="70AB133D"/>
    <w:rsid w:val="70AB72AE"/>
    <w:rsid w:val="70B15F02"/>
    <w:rsid w:val="70B62B1B"/>
    <w:rsid w:val="70B90013"/>
    <w:rsid w:val="70BF0373"/>
    <w:rsid w:val="70C234EB"/>
    <w:rsid w:val="70C81EAF"/>
    <w:rsid w:val="70C930D0"/>
    <w:rsid w:val="70CD14F5"/>
    <w:rsid w:val="70D17951"/>
    <w:rsid w:val="70D63A18"/>
    <w:rsid w:val="70DB6936"/>
    <w:rsid w:val="70DD4176"/>
    <w:rsid w:val="70E37DCF"/>
    <w:rsid w:val="70E64278"/>
    <w:rsid w:val="70E6505B"/>
    <w:rsid w:val="70E92159"/>
    <w:rsid w:val="70F6595C"/>
    <w:rsid w:val="71013DBA"/>
    <w:rsid w:val="71073A26"/>
    <w:rsid w:val="710A2B60"/>
    <w:rsid w:val="710A31C8"/>
    <w:rsid w:val="7112346D"/>
    <w:rsid w:val="7115156B"/>
    <w:rsid w:val="71180CA8"/>
    <w:rsid w:val="71180E81"/>
    <w:rsid w:val="711E0E24"/>
    <w:rsid w:val="711E2D3C"/>
    <w:rsid w:val="712845BD"/>
    <w:rsid w:val="71360CD9"/>
    <w:rsid w:val="713A43F7"/>
    <w:rsid w:val="714177A3"/>
    <w:rsid w:val="714814E8"/>
    <w:rsid w:val="714A5D9F"/>
    <w:rsid w:val="714D7206"/>
    <w:rsid w:val="714E7411"/>
    <w:rsid w:val="714F16BB"/>
    <w:rsid w:val="7151721C"/>
    <w:rsid w:val="71555A6B"/>
    <w:rsid w:val="71625C41"/>
    <w:rsid w:val="71653889"/>
    <w:rsid w:val="7169384A"/>
    <w:rsid w:val="717117BD"/>
    <w:rsid w:val="717175B9"/>
    <w:rsid w:val="71717D0F"/>
    <w:rsid w:val="71792A03"/>
    <w:rsid w:val="717D3840"/>
    <w:rsid w:val="7186339E"/>
    <w:rsid w:val="718A7A96"/>
    <w:rsid w:val="718C0FD5"/>
    <w:rsid w:val="718D4B4B"/>
    <w:rsid w:val="718E63D9"/>
    <w:rsid w:val="71933E05"/>
    <w:rsid w:val="719413B0"/>
    <w:rsid w:val="71997528"/>
    <w:rsid w:val="719C18BD"/>
    <w:rsid w:val="71B60D83"/>
    <w:rsid w:val="71BC18F9"/>
    <w:rsid w:val="71C21B83"/>
    <w:rsid w:val="71CC1096"/>
    <w:rsid w:val="71D459E3"/>
    <w:rsid w:val="71D56648"/>
    <w:rsid w:val="71DD31E1"/>
    <w:rsid w:val="71E01019"/>
    <w:rsid w:val="71EA7AC7"/>
    <w:rsid w:val="71F1067C"/>
    <w:rsid w:val="71F27D0B"/>
    <w:rsid w:val="71F917EC"/>
    <w:rsid w:val="71FD4F69"/>
    <w:rsid w:val="7203750B"/>
    <w:rsid w:val="72052991"/>
    <w:rsid w:val="7206131A"/>
    <w:rsid w:val="720B5C5E"/>
    <w:rsid w:val="720B7C2D"/>
    <w:rsid w:val="720C3F9D"/>
    <w:rsid w:val="720F30A3"/>
    <w:rsid w:val="72207A65"/>
    <w:rsid w:val="72212FBF"/>
    <w:rsid w:val="72213906"/>
    <w:rsid w:val="72286296"/>
    <w:rsid w:val="722C18DA"/>
    <w:rsid w:val="72321B05"/>
    <w:rsid w:val="7234351F"/>
    <w:rsid w:val="723B0C9A"/>
    <w:rsid w:val="723B1E9B"/>
    <w:rsid w:val="723B73B2"/>
    <w:rsid w:val="723D2795"/>
    <w:rsid w:val="72411297"/>
    <w:rsid w:val="72442508"/>
    <w:rsid w:val="72460A75"/>
    <w:rsid w:val="72491F3B"/>
    <w:rsid w:val="724E1FB5"/>
    <w:rsid w:val="724E70E9"/>
    <w:rsid w:val="72523B9E"/>
    <w:rsid w:val="725735D5"/>
    <w:rsid w:val="725748FF"/>
    <w:rsid w:val="72597F59"/>
    <w:rsid w:val="725A7266"/>
    <w:rsid w:val="725C6D3A"/>
    <w:rsid w:val="725E1845"/>
    <w:rsid w:val="72620A4E"/>
    <w:rsid w:val="72697041"/>
    <w:rsid w:val="726F7F76"/>
    <w:rsid w:val="727047CE"/>
    <w:rsid w:val="72780647"/>
    <w:rsid w:val="728000CE"/>
    <w:rsid w:val="728A1748"/>
    <w:rsid w:val="728C1ED1"/>
    <w:rsid w:val="72953E49"/>
    <w:rsid w:val="7297468D"/>
    <w:rsid w:val="72BD2825"/>
    <w:rsid w:val="72C73849"/>
    <w:rsid w:val="72C76066"/>
    <w:rsid w:val="72C97EF4"/>
    <w:rsid w:val="72CB1258"/>
    <w:rsid w:val="72D72615"/>
    <w:rsid w:val="72E41630"/>
    <w:rsid w:val="72E71D9E"/>
    <w:rsid w:val="72EA39C2"/>
    <w:rsid w:val="72ED42C4"/>
    <w:rsid w:val="72EE2685"/>
    <w:rsid w:val="731130D9"/>
    <w:rsid w:val="731260F6"/>
    <w:rsid w:val="7313240C"/>
    <w:rsid w:val="731B3955"/>
    <w:rsid w:val="731D33AB"/>
    <w:rsid w:val="7320483F"/>
    <w:rsid w:val="73231AF0"/>
    <w:rsid w:val="7328228B"/>
    <w:rsid w:val="732A03DE"/>
    <w:rsid w:val="732B0817"/>
    <w:rsid w:val="732E2352"/>
    <w:rsid w:val="732F0E11"/>
    <w:rsid w:val="732F7CF1"/>
    <w:rsid w:val="733542D3"/>
    <w:rsid w:val="734112A7"/>
    <w:rsid w:val="73422B44"/>
    <w:rsid w:val="734825E7"/>
    <w:rsid w:val="73483813"/>
    <w:rsid w:val="734E6078"/>
    <w:rsid w:val="73565F87"/>
    <w:rsid w:val="73571EB9"/>
    <w:rsid w:val="735940C4"/>
    <w:rsid w:val="735B19DC"/>
    <w:rsid w:val="735F1ED8"/>
    <w:rsid w:val="735F7E41"/>
    <w:rsid w:val="73607555"/>
    <w:rsid w:val="7362444C"/>
    <w:rsid w:val="73637D68"/>
    <w:rsid w:val="73673291"/>
    <w:rsid w:val="736C58BA"/>
    <w:rsid w:val="736F292A"/>
    <w:rsid w:val="736F2D51"/>
    <w:rsid w:val="73746F43"/>
    <w:rsid w:val="737841F1"/>
    <w:rsid w:val="73792A82"/>
    <w:rsid w:val="737E70DD"/>
    <w:rsid w:val="737F5BCA"/>
    <w:rsid w:val="73845CF8"/>
    <w:rsid w:val="73853BA7"/>
    <w:rsid w:val="738A4C06"/>
    <w:rsid w:val="738B37DA"/>
    <w:rsid w:val="738C451F"/>
    <w:rsid w:val="739766FD"/>
    <w:rsid w:val="73A02AF8"/>
    <w:rsid w:val="73B43C57"/>
    <w:rsid w:val="73B92A92"/>
    <w:rsid w:val="73BF420B"/>
    <w:rsid w:val="73C76BF8"/>
    <w:rsid w:val="73CA29D8"/>
    <w:rsid w:val="73CA3B51"/>
    <w:rsid w:val="73D00F12"/>
    <w:rsid w:val="73D03795"/>
    <w:rsid w:val="73D140E2"/>
    <w:rsid w:val="73E157D8"/>
    <w:rsid w:val="73E16E31"/>
    <w:rsid w:val="73E754F0"/>
    <w:rsid w:val="73EE7179"/>
    <w:rsid w:val="74081356"/>
    <w:rsid w:val="740A456F"/>
    <w:rsid w:val="740D2E06"/>
    <w:rsid w:val="741D676E"/>
    <w:rsid w:val="741D7B63"/>
    <w:rsid w:val="74206A46"/>
    <w:rsid w:val="74243026"/>
    <w:rsid w:val="742D5A28"/>
    <w:rsid w:val="743523BF"/>
    <w:rsid w:val="74353409"/>
    <w:rsid w:val="7436244A"/>
    <w:rsid w:val="743E71DA"/>
    <w:rsid w:val="7445566E"/>
    <w:rsid w:val="744718BD"/>
    <w:rsid w:val="74492298"/>
    <w:rsid w:val="74504B7A"/>
    <w:rsid w:val="74507053"/>
    <w:rsid w:val="745C14BA"/>
    <w:rsid w:val="746434D8"/>
    <w:rsid w:val="74663D3E"/>
    <w:rsid w:val="746844C7"/>
    <w:rsid w:val="746937E2"/>
    <w:rsid w:val="746A70D3"/>
    <w:rsid w:val="7474544F"/>
    <w:rsid w:val="74776BC6"/>
    <w:rsid w:val="74783685"/>
    <w:rsid w:val="74824855"/>
    <w:rsid w:val="748C228E"/>
    <w:rsid w:val="748F3BE5"/>
    <w:rsid w:val="74933988"/>
    <w:rsid w:val="74971CF5"/>
    <w:rsid w:val="74A777EB"/>
    <w:rsid w:val="74BF6687"/>
    <w:rsid w:val="74BF6D26"/>
    <w:rsid w:val="74C35BBB"/>
    <w:rsid w:val="74C42310"/>
    <w:rsid w:val="74DB181D"/>
    <w:rsid w:val="74DC2BE7"/>
    <w:rsid w:val="74F12C3B"/>
    <w:rsid w:val="74FB071A"/>
    <w:rsid w:val="74FC1613"/>
    <w:rsid w:val="74FE7B3A"/>
    <w:rsid w:val="74FF44C8"/>
    <w:rsid w:val="750F22C6"/>
    <w:rsid w:val="751140F4"/>
    <w:rsid w:val="75114F31"/>
    <w:rsid w:val="75135115"/>
    <w:rsid w:val="7524446A"/>
    <w:rsid w:val="752822D4"/>
    <w:rsid w:val="752A78F2"/>
    <w:rsid w:val="752D60DC"/>
    <w:rsid w:val="75366595"/>
    <w:rsid w:val="754343D2"/>
    <w:rsid w:val="754B6D67"/>
    <w:rsid w:val="754E4B93"/>
    <w:rsid w:val="754F5D80"/>
    <w:rsid w:val="75507B87"/>
    <w:rsid w:val="75511AC7"/>
    <w:rsid w:val="75544606"/>
    <w:rsid w:val="75655665"/>
    <w:rsid w:val="756A670D"/>
    <w:rsid w:val="756F3042"/>
    <w:rsid w:val="75707F48"/>
    <w:rsid w:val="75734E18"/>
    <w:rsid w:val="757850D0"/>
    <w:rsid w:val="757C0318"/>
    <w:rsid w:val="75831916"/>
    <w:rsid w:val="7585664C"/>
    <w:rsid w:val="75884D40"/>
    <w:rsid w:val="758955B6"/>
    <w:rsid w:val="758F5C71"/>
    <w:rsid w:val="7595431D"/>
    <w:rsid w:val="75965A72"/>
    <w:rsid w:val="759E3BBA"/>
    <w:rsid w:val="759F679D"/>
    <w:rsid w:val="75A41CF0"/>
    <w:rsid w:val="75A91AD7"/>
    <w:rsid w:val="75A92FBC"/>
    <w:rsid w:val="75AA29D7"/>
    <w:rsid w:val="75AD3D49"/>
    <w:rsid w:val="75AF6DE0"/>
    <w:rsid w:val="75B1731B"/>
    <w:rsid w:val="75B82DD5"/>
    <w:rsid w:val="75BA5664"/>
    <w:rsid w:val="75BF7F47"/>
    <w:rsid w:val="75CB4F5A"/>
    <w:rsid w:val="75CC37C1"/>
    <w:rsid w:val="75CE20FD"/>
    <w:rsid w:val="75D06459"/>
    <w:rsid w:val="75D125E4"/>
    <w:rsid w:val="75D431E5"/>
    <w:rsid w:val="75D733C7"/>
    <w:rsid w:val="75DB67D2"/>
    <w:rsid w:val="75E1452B"/>
    <w:rsid w:val="75EA2C99"/>
    <w:rsid w:val="75F00C22"/>
    <w:rsid w:val="75F201B5"/>
    <w:rsid w:val="75F26B3E"/>
    <w:rsid w:val="75F33055"/>
    <w:rsid w:val="75F90C94"/>
    <w:rsid w:val="75F955A0"/>
    <w:rsid w:val="75FC3C7D"/>
    <w:rsid w:val="760268A8"/>
    <w:rsid w:val="760873AD"/>
    <w:rsid w:val="76094B23"/>
    <w:rsid w:val="760B71EE"/>
    <w:rsid w:val="760C3F13"/>
    <w:rsid w:val="760E210D"/>
    <w:rsid w:val="761C38D9"/>
    <w:rsid w:val="762045DB"/>
    <w:rsid w:val="762310F6"/>
    <w:rsid w:val="7624379E"/>
    <w:rsid w:val="762547D6"/>
    <w:rsid w:val="76380A7A"/>
    <w:rsid w:val="765331AF"/>
    <w:rsid w:val="765343E5"/>
    <w:rsid w:val="76661EAF"/>
    <w:rsid w:val="766D0222"/>
    <w:rsid w:val="76725226"/>
    <w:rsid w:val="76741E76"/>
    <w:rsid w:val="7675154F"/>
    <w:rsid w:val="7675739E"/>
    <w:rsid w:val="767678CA"/>
    <w:rsid w:val="767678D2"/>
    <w:rsid w:val="767C156E"/>
    <w:rsid w:val="767C5D91"/>
    <w:rsid w:val="768B355B"/>
    <w:rsid w:val="768C593D"/>
    <w:rsid w:val="768C680C"/>
    <w:rsid w:val="76957405"/>
    <w:rsid w:val="76981A02"/>
    <w:rsid w:val="769A7614"/>
    <w:rsid w:val="769B50A8"/>
    <w:rsid w:val="76A231B3"/>
    <w:rsid w:val="76A65CA3"/>
    <w:rsid w:val="76A84875"/>
    <w:rsid w:val="76BB70ED"/>
    <w:rsid w:val="76C30EE4"/>
    <w:rsid w:val="76C4314E"/>
    <w:rsid w:val="76CD17F4"/>
    <w:rsid w:val="76D751BD"/>
    <w:rsid w:val="76DA53B2"/>
    <w:rsid w:val="76E53447"/>
    <w:rsid w:val="76E73CC1"/>
    <w:rsid w:val="76EF72E8"/>
    <w:rsid w:val="76F12605"/>
    <w:rsid w:val="76F313A0"/>
    <w:rsid w:val="77033FFD"/>
    <w:rsid w:val="770372C7"/>
    <w:rsid w:val="770F3630"/>
    <w:rsid w:val="77123E42"/>
    <w:rsid w:val="771610EF"/>
    <w:rsid w:val="771D1BBC"/>
    <w:rsid w:val="7723066B"/>
    <w:rsid w:val="77257504"/>
    <w:rsid w:val="772C01BE"/>
    <w:rsid w:val="772C61DD"/>
    <w:rsid w:val="772C67ED"/>
    <w:rsid w:val="772D4303"/>
    <w:rsid w:val="772E0A5D"/>
    <w:rsid w:val="772F6EB5"/>
    <w:rsid w:val="773128A2"/>
    <w:rsid w:val="773B279B"/>
    <w:rsid w:val="773C165B"/>
    <w:rsid w:val="773F2360"/>
    <w:rsid w:val="773F352E"/>
    <w:rsid w:val="774750EC"/>
    <w:rsid w:val="77487269"/>
    <w:rsid w:val="774901F4"/>
    <w:rsid w:val="774B0EEC"/>
    <w:rsid w:val="775A34DA"/>
    <w:rsid w:val="776D1F58"/>
    <w:rsid w:val="777905E8"/>
    <w:rsid w:val="777D12FA"/>
    <w:rsid w:val="7785245B"/>
    <w:rsid w:val="7788252F"/>
    <w:rsid w:val="778F7317"/>
    <w:rsid w:val="779663BE"/>
    <w:rsid w:val="77977663"/>
    <w:rsid w:val="779B0DD9"/>
    <w:rsid w:val="77A02279"/>
    <w:rsid w:val="77A72D32"/>
    <w:rsid w:val="77A82D23"/>
    <w:rsid w:val="77AC0024"/>
    <w:rsid w:val="77AC300C"/>
    <w:rsid w:val="77AF4358"/>
    <w:rsid w:val="77B33B6B"/>
    <w:rsid w:val="77B90412"/>
    <w:rsid w:val="77C15D17"/>
    <w:rsid w:val="77CB25F2"/>
    <w:rsid w:val="77D45574"/>
    <w:rsid w:val="77DD3463"/>
    <w:rsid w:val="77E36DBE"/>
    <w:rsid w:val="77ED4910"/>
    <w:rsid w:val="77EE3B84"/>
    <w:rsid w:val="77EE48A0"/>
    <w:rsid w:val="77F113E6"/>
    <w:rsid w:val="77F34E5A"/>
    <w:rsid w:val="77F8532A"/>
    <w:rsid w:val="77FD31EB"/>
    <w:rsid w:val="78035F08"/>
    <w:rsid w:val="780423B9"/>
    <w:rsid w:val="78051144"/>
    <w:rsid w:val="780F5327"/>
    <w:rsid w:val="78107D3B"/>
    <w:rsid w:val="78132D90"/>
    <w:rsid w:val="781C6188"/>
    <w:rsid w:val="782313D4"/>
    <w:rsid w:val="782A0F1C"/>
    <w:rsid w:val="78325507"/>
    <w:rsid w:val="78356846"/>
    <w:rsid w:val="783E1719"/>
    <w:rsid w:val="78431CD7"/>
    <w:rsid w:val="784D0914"/>
    <w:rsid w:val="784D7F99"/>
    <w:rsid w:val="78525825"/>
    <w:rsid w:val="78532C2F"/>
    <w:rsid w:val="78535219"/>
    <w:rsid w:val="78536C89"/>
    <w:rsid w:val="785A775C"/>
    <w:rsid w:val="785C711F"/>
    <w:rsid w:val="78656A65"/>
    <w:rsid w:val="78661915"/>
    <w:rsid w:val="78675391"/>
    <w:rsid w:val="7867724F"/>
    <w:rsid w:val="786B6388"/>
    <w:rsid w:val="786C32FD"/>
    <w:rsid w:val="786E6AB7"/>
    <w:rsid w:val="786E712C"/>
    <w:rsid w:val="786F37FC"/>
    <w:rsid w:val="78756709"/>
    <w:rsid w:val="787D5277"/>
    <w:rsid w:val="787D665C"/>
    <w:rsid w:val="788411D3"/>
    <w:rsid w:val="788A36FF"/>
    <w:rsid w:val="788C1666"/>
    <w:rsid w:val="788C4CB6"/>
    <w:rsid w:val="78900481"/>
    <w:rsid w:val="78913A5E"/>
    <w:rsid w:val="78937A5D"/>
    <w:rsid w:val="78983AD1"/>
    <w:rsid w:val="7899177D"/>
    <w:rsid w:val="78A13CE6"/>
    <w:rsid w:val="78A86F13"/>
    <w:rsid w:val="78AA2056"/>
    <w:rsid w:val="78AF1E44"/>
    <w:rsid w:val="78B30DAC"/>
    <w:rsid w:val="78B67592"/>
    <w:rsid w:val="78BA601B"/>
    <w:rsid w:val="78BB1818"/>
    <w:rsid w:val="78C045D0"/>
    <w:rsid w:val="78C1090E"/>
    <w:rsid w:val="78C24B6E"/>
    <w:rsid w:val="78E050D5"/>
    <w:rsid w:val="78E916CA"/>
    <w:rsid w:val="78E92EA6"/>
    <w:rsid w:val="78E97169"/>
    <w:rsid w:val="78ED7D14"/>
    <w:rsid w:val="78EE7843"/>
    <w:rsid w:val="78F428E1"/>
    <w:rsid w:val="78F736B8"/>
    <w:rsid w:val="78FA5141"/>
    <w:rsid w:val="790146A5"/>
    <w:rsid w:val="79026B24"/>
    <w:rsid w:val="79033E81"/>
    <w:rsid w:val="79066CFE"/>
    <w:rsid w:val="79150EE8"/>
    <w:rsid w:val="791E2B0D"/>
    <w:rsid w:val="792E1695"/>
    <w:rsid w:val="793819FD"/>
    <w:rsid w:val="793A7709"/>
    <w:rsid w:val="793F4B73"/>
    <w:rsid w:val="79485A6A"/>
    <w:rsid w:val="794A7537"/>
    <w:rsid w:val="794C7092"/>
    <w:rsid w:val="79512818"/>
    <w:rsid w:val="795821A2"/>
    <w:rsid w:val="796706F4"/>
    <w:rsid w:val="79734051"/>
    <w:rsid w:val="7974249E"/>
    <w:rsid w:val="797856AA"/>
    <w:rsid w:val="7979640B"/>
    <w:rsid w:val="798170EC"/>
    <w:rsid w:val="79840ED4"/>
    <w:rsid w:val="798F1F99"/>
    <w:rsid w:val="79913601"/>
    <w:rsid w:val="799B24BB"/>
    <w:rsid w:val="799F0F07"/>
    <w:rsid w:val="79A26C36"/>
    <w:rsid w:val="79A358A9"/>
    <w:rsid w:val="79AF7A5A"/>
    <w:rsid w:val="79B37804"/>
    <w:rsid w:val="79C040B4"/>
    <w:rsid w:val="79C27653"/>
    <w:rsid w:val="79C7475C"/>
    <w:rsid w:val="79CA5151"/>
    <w:rsid w:val="79D607DD"/>
    <w:rsid w:val="79DC05AA"/>
    <w:rsid w:val="79E07FF6"/>
    <w:rsid w:val="79E3364B"/>
    <w:rsid w:val="79E70843"/>
    <w:rsid w:val="79F045C4"/>
    <w:rsid w:val="79F53325"/>
    <w:rsid w:val="79F619CE"/>
    <w:rsid w:val="79F814CA"/>
    <w:rsid w:val="79FD4771"/>
    <w:rsid w:val="79FD54C7"/>
    <w:rsid w:val="7A0566E5"/>
    <w:rsid w:val="7A0A3E94"/>
    <w:rsid w:val="7A0F22C3"/>
    <w:rsid w:val="7A187299"/>
    <w:rsid w:val="7A187F5D"/>
    <w:rsid w:val="7A215D0A"/>
    <w:rsid w:val="7A2455C3"/>
    <w:rsid w:val="7A2608D4"/>
    <w:rsid w:val="7A2736A2"/>
    <w:rsid w:val="7A2B2DBF"/>
    <w:rsid w:val="7A2D4EF1"/>
    <w:rsid w:val="7A2F441C"/>
    <w:rsid w:val="7A36798A"/>
    <w:rsid w:val="7A394711"/>
    <w:rsid w:val="7A474324"/>
    <w:rsid w:val="7A4F5F24"/>
    <w:rsid w:val="7A510F77"/>
    <w:rsid w:val="7A570088"/>
    <w:rsid w:val="7A5C2CEE"/>
    <w:rsid w:val="7A5E5944"/>
    <w:rsid w:val="7A605A43"/>
    <w:rsid w:val="7A634FA4"/>
    <w:rsid w:val="7A650884"/>
    <w:rsid w:val="7A673275"/>
    <w:rsid w:val="7A6C09E6"/>
    <w:rsid w:val="7A6E7AB9"/>
    <w:rsid w:val="7A715072"/>
    <w:rsid w:val="7A755777"/>
    <w:rsid w:val="7A797D94"/>
    <w:rsid w:val="7A7B5BE1"/>
    <w:rsid w:val="7A7C3741"/>
    <w:rsid w:val="7A831CEC"/>
    <w:rsid w:val="7A834BC7"/>
    <w:rsid w:val="7A8A4E3F"/>
    <w:rsid w:val="7A8C0248"/>
    <w:rsid w:val="7A8E1FA1"/>
    <w:rsid w:val="7A9D6146"/>
    <w:rsid w:val="7AA62D87"/>
    <w:rsid w:val="7AA85702"/>
    <w:rsid w:val="7AA86C7E"/>
    <w:rsid w:val="7AAC2999"/>
    <w:rsid w:val="7AB53EC4"/>
    <w:rsid w:val="7ACA01E0"/>
    <w:rsid w:val="7AD17248"/>
    <w:rsid w:val="7AD479BF"/>
    <w:rsid w:val="7AD6650C"/>
    <w:rsid w:val="7ADA2E21"/>
    <w:rsid w:val="7ADC2760"/>
    <w:rsid w:val="7ADF31E9"/>
    <w:rsid w:val="7AE248C7"/>
    <w:rsid w:val="7AE94E66"/>
    <w:rsid w:val="7AEA1292"/>
    <w:rsid w:val="7AEB1CA6"/>
    <w:rsid w:val="7AEF6DC5"/>
    <w:rsid w:val="7AF5069A"/>
    <w:rsid w:val="7AF73547"/>
    <w:rsid w:val="7AFD36FA"/>
    <w:rsid w:val="7B003629"/>
    <w:rsid w:val="7B0A4EB0"/>
    <w:rsid w:val="7B113011"/>
    <w:rsid w:val="7B161304"/>
    <w:rsid w:val="7B192CE5"/>
    <w:rsid w:val="7B24186A"/>
    <w:rsid w:val="7B2440AC"/>
    <w:rsid w:val="7B274EC5"/>
    <w:rsid w:val="7B275454"/>
    <w:rsid w:val="7B28589E"/>
    <w:rsid w:val="7B2D2CE9"/>
    <w:rsid w:val="7B2E11F0"/>
    <w:rsid w:val="7B365EB0"/>
    <w:rsid w:val="7B3A1D67"/>
    <w:rsid w:val="7B414758"/>
    <w:rsid w:val="7B434DA5"/>
    <w:rsid w:val="7B4B793B"/>
    <w:rsid w:val="7B4D710F"/>
    <w:rsid w:val="7B514730"/>
    <w:rsid w:val="7B581939"/>
    <w:rsid w:val="7B5C5177"/>
    <w:rsid w:val="7B5D2A2A"/>
    <w:rsid w:val="7B6573CC"/>
    <w:rsid w:val="7B6B2512"/>
    <w:rsid w:val="7B723679"/>
    <w:rsid w:val="7B7672B6"/>
    <w:rsid w:val="7B7962FC"/>
    <w:rsid w:val="7B7F5097"/>
    <w:rsid w:val="7B8B1398"/>
    <w:rsid w:val="7B8B1FB6"/>
    <w:rsid w:val="7B930181"/>
    <w:rsid w:val="7B9303C9"/>
    <w:rsid w:val="7B9F079C"/>
    <w:rsid w:val="7BA676A0"/>
    <w:rsid w:val="7BA84D3B"/>
    <w:rsid w:val="7BAA544C"/>
    <w:rsid w:val="7BAD29D3"/>
    <w:rsid w:val="7BB55AB8"/>
    <w:rsid w:val="7BBD063B"/>
    <w:rsid w:val="7BC10580"/>
    <w:rsid w:val="7BC16B5D"/>
    <w:rsid w:val="7BC17A62"/>
    <w:rsid w:val="7BC342C6"/>
    <w:rsid w:val="7BC56567"/>
    <w:rsid w:val="7BC66B45"/>
    <w:rsid w:val="7BC773A7"/>
    <w:rsid w:val="7BCF09AB"/>
    <w:rsid w:val="7BD36AA3"/>
    <w:rsid w:val="7BD5558A"/>
    <w:rsid w:val="7BDB62E3"/>
    <w:rsid w:val="7BDE20D3"/>
    <w:rsid w:val="7BE475EC"/>
    <w:rsid w:val="7BEE32DF"/>
    <w:rsid w:val="7BF545DD"/>
    <w:rsid w:val="7BFD2217"/>
    <w:rsid w:val="7BFD7E77"/>
    <w:rsid w:val="7C063B79"/>
    <w:rsid w:val="7C06754F"/>
    <w:rsid w:val="7C081E29"/>
    <w:rsid w:val="7C0E3451"/>
    <w:rsid w:val="7C0F378C"/>
    <w:rsid w:val="7C134B8B"/>
    <w:rsid w:val="7C136C5E"/>
    <w:rsid w:val="7C144527"/>
    <w:rsid w:val="7C173A1C"/>
    <w:rsid w:val="7C1B6097"/>
    <w:rsid w:val="7C201FC3"/>
    <w:rsid w:val="7C231FE3"/>
    <w:rsid w:val="7C2940A3"/>
    <w:rsid w:val="7C2A61E5"/>
    <w:rsid w:val="7C2F1FD1"/>
    <w:rsid w:val="7C3021F4"/>
    <w:rsid w:val="7C332DC7"/>
    <w:rsid w:val="7C36407C"/>
    <w:rsid w:val="7C374D8F"/>
    <w:rsid w:val="7C3D4A1D"/>
    <w:rsid w:val="7C3E6E2B"/>
    <w:rsid w:val="7C421455"/>
    <w:rsid w:val="7C490A4F"/>
    <w:rsid w:val="7C4B7EC3"/>
    <w:rsid w:val="7C511A88"/>
    <w:rsid w:val="7C522335"/>
    <w:rsid w:val="7C532E05"/>
    <w:rsid w:val="7C544109"/>
    <w:rsid w:val="7C582B10"/>
    <w:rsid w:val="7C5B3ED6"/>
    <w:rsid w:val="7C5C7714"/>
    <w:rsid w:val="7C5F1E43"/>
    <w:rsid w:val="7C6D39AE"/>
    <w:rsid w:val="7C74025A"/>
    <w:rsid w:val="7C771E24"/>
    <w:rsid w:val="7C776805"/>
    <w:rsid w:val="7C7B58E0"/>
    <w:rsid w:val="7C827900"/>
    <w:rsid w:val="7C8D30A1"/>
    <w:rsid w:val="7C90484D"/>
    <w:rsid w:val="7C936E76"/>
    <w:rsid w:val="7C971344"/>
    <w:rsid w:val="7C9A2EB3"/>
    <w:rsid w:val="7CA1722F"/>
    <w:rsid w:val="7CAD0244"/>
    <w:rsid w:val="7CAE0846"/>
    <w:rsid w:val="7CB25F06"/>
    <w:rsid w:val="7CBC315D"/>
    <w:rsid w:val="7CC23623"/>
    <w:rsid w:val="7CC46414"/>
    <w:rsid w:val="7CCB7B1E"/>
    <w:rsid w:val="7CCD1CF8"/>
    <w:rsid w:val="7CD13198"/>
    <w:rsid w:val="7CD56C94"/>
    <w:rsid w:val="7CDA2B62"/>
    <w:rsid w:val="7CDF44A7"/>
    <w:rsid w:val="7CE16FFD"/>
    <w:rsid w:val="7CE47359"/>
    <w:rsid w:val="7CE56C28"/>
    <w:rsid w:val="7CEB76A6"/>
    <w:rsid w:val="7CEE5D27"/>
    <w:rsid w:val="7CEF1E49"/>
    <w:rsid w:val="7CF3492A"/>
    <w:rsid w:val="7CF64015"/>
    <w:rsid w:val="7CF74181"/>
    <w:rsid w:val="7CF96AA9"/>
    <w:rsid w:val="7CFB4765"/>
    <w:rsid w:val="7CFE3C5D"/>
    <w:rsid w:val="7D066E2B"/>
    <w:rsid w:val="7D073D30"/>
    <w:rsid w:val="7D0D3A65"/>
    <w:rsid w:val="7D13497A"/>
    <w:rsid w:val="7D17032D"/>
    <w:rsid w:val="7D19317C"/>
    <w:rsid w:val="7D193F84"/>
    <w:rsid w:val="7D1C7103"/>
    <w:rsid w:val="7D2519EE"/>
    <w:rsid w:val="7D2853EF"/>
    <w:rsid w:val="7D285ECC"/>
    <w:rsid w:val="7D2A54A9"/>
    <w:rsid w:val="7D2D37DE"/>
    <w:rsid w:val="7D4029C1"/>
    <w:rsid w:val="7D405884"/>
    <w:rsid w:val="7D4A4DF6"/>
    <w:rsid w:val="7D5B4EF8"/>
    <w:rsid w:val="7D5C4BC0"/>
    <w:rsid w:val="7D5D7600"/>
    <w:rsid w:val="7D653F46"/>
    <w:rsid w:val="7D682911"/>
    <w:rsid w:val="7D705D22"/>
    <w:rsid w:val="7D753454"/>
    <w:rsid w:val="7D7778A7"/>
    <w:rsid w:val="7D7B1000"/>
    <w:rsid w:val="7D8074E5"/>
    <w:rsid w:val="7D864C5D"/>
    <w:rsid w:val="7D87433B"/>
    <w:rsid w:val="7D874FAC"/>
    <w:rsid w:val="7D875C1D"/>
    <w:rsid w:val="7D8F6A7C"/>
    <w:rsid w:val="7D94257B"/>
    <w:rsid w:val="7D947117"/>
    <w:rsid w:val="7D9C4806"/>
    <w:rsid w:val="7DA21C12"/>
    <w:rsid w:val="7DA41F64"/>
    <w:rsid w:val="7DB80455"/>
    <w:rsid w:val="7DBC48F3"/>
    <w:rsid w:val="7DC002DC"/>
    <w:rsid w:val="7DC464BE"/>
    <w:rsid w:val="7DC762DE"/>
    <w:rsid w:val="7DCD69EF"/>
    <w:rsid w:val="7DD01FA8"/>
    <w:rsid w:val="7DD64EDF"/>
    <w:rsid w:val="7DDB1E11"/>
    <w:rsid w:val="7DE27E6F"/>
    <w:rsid w:val="7DE316E5"/>
    <w:rsid w:val="7DE44E91"/>
    <w:rsid w:val="7DE46910"/>
    <w:rsid w:val="7DE9756F"/>
    <w:rsid w:val="7DF42531"/>
    <w:rsid w:val="7DF61D8E"/>
    <w:rsid w:val="7DF866F7"/>
    <w:rsid w:val="7DFA7CBD"/>
    <w:rsid w:val="7E063828"/>
    <w:rsid w:val="7E122596"/>
    <w:rsid w:val="7E17424F"/>
    <w:rsid w:val="7E1A53DC"/>
    <w:rsid w:val="7E1C408B"/>
    <w:rsid w:val="7E231B4A"/>
    <w:rsid w:val="7E251404"/>
    <w:rsid w:val="7E2565BB"/>
    <w:rsid w:val="7E291631"/>
    <w:rsid w:val="7E2D1548"/>
    <w:rsid w:val="7E375F81"/>
    <w:rsid w:val="7E411684"/>
    <w:rsid w:val="7E422917"/>
    <w:rsid w:val="7E427BB8"/>
    <w:rsid w:val="7E5D0B23"/>
    <w:rsid w:val="7E5D621F"/>
    <w:rsid w:val="7E751806"/>
    <w:rsid w:val="7E795210"/>
    <w:rsid w:val="7E8E7305"/>
    <w:rsid w:val="7E930454"/>
    <w:rsid w:val="7E936587"/>
    <w:rsid w:val="7EA341E3"/>
    <w:rsid w:val="7EA35D9F"/>
    <w:rsid w:val="7EA6332F"/>
    <w:rsid w:val="7EAD1DDF"/>
    <w:rsid w:val="7EAE4A89"/>
    <w:rsid w:val="7EAF11ED"/>
    <w:rsid w:val="7EB476C7"/>
    <w:rsid w:val="7EB878DF"/>
    <w:rsid w:val="7EBE449B"/>
    <w:rsid w:val="7ECC1C6F"/>
    <w:rsid w:val="7ED13956"/>
    <w:rsid w:val="7EE40A70"/>
    <w:rsid w:val="7EE70987"/>
    <w:rsid w:val="7EE954AA"/>
    <w:rsid w:val="7EF44FD2"/>
    <w:rsid w:val="7EF54E61"/>
    <w:rsid w:val="7EFF2348"/>
    <w:rsid w:val="7F0079D5"/>
    <w:rsid w:val="7F0625BC"/>
    <w:rsid w:val="7F0768D2"/>
    <w:rsid w:val="7F1077B2"/>
    <w:rsid w:val="7F16050C"/>
    <w:rsid w:val="7F1B7D95"/>
    <w:rsid w:val="7F1C2B23"/>
    <w:rsid w:val="7F210A97"/>
    <w:rsid w:val="7F2429E5"/>
    <w:rsid w:val="7F2602B7"/>
    <w:rsid w:val="7F2C1A37"/>
    <w:rsid w:val="7F2D4B58"/>
    <w:rsid w:val="7F34131D"/>
    <w:rsid w:val="7F356936"/>
    <w:rsid w:val="7F403E0B"/>
    <w:rsid w:val="7F457D7A"/>
    <w:rsid w:val="7F474FFD"/>
    <w:rsid w:val="7F514F85"/>
    <w:rsid w:val="7F654BE7"/>
    <w:rsid w:val="7F655DA2"/>
    <w:rsid w:val="7F695915"/>
    <w:rsid w:val="7F6F3457"/>
    <w:rsid w:val="7F7A786E"/>
    <w:rsid w:val="7F7E7102"/>
    <w:rsid w:val="7F846FC1"/>
    <w:rsid w:val="7F847495"/>
    <w:rsid w:val="7F8A242E"/>
    <w:rsid w:val="7F9B154E"/>
    <w:rsid w:val="7FA05E13"/>
    <w:rsid w:val="7FA5312A"/>
    <w:rsid w:val="7FA5481A"/>
    <w:rsid w:val="7FA85237"/>
    <w:rsid w:val="7FAC5BCE"/>
    <w:rsid w:val="7FB04E02"/>
    <w:rsid w:val="7FBC7F09"/>
    <w:rsid w:val="7FC236A8"/>
    <w:rsid w:val="7FC427C1"/>
    <w:rsid w:val="7FCB23B1"/>
    <w:rsid w:val="7FCE44E1"/>
    <w:rsid w:val="7FDC0304"/>
    <w:rsid w:val="7FDD6D2C"/>
    <w:rsid w:val="7FE012CE"/>
    <w:rsid w:val="7FEE4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iPriority="99" w:semiHidden="0"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qFormat="1" w:uiPriority="99"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qFormat="1" w:uiPriority="99" w:semiHidden="0" w:name="HTML Typewriter"/>
    <w:lsdException w:qFormat="1"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9"/>
    <w:pPr>
      <w:keepNext/>
      <w:keepLines/>
      <w:spacing w:before="340" w:after="330" w:line="578" w:lineRule="auto"/>
      <w:outlineLvl w:val="0"/>
    </w:pPr>
    <w:rPr>
      <w:rFonts w:ascii="宋体" w:hAnsi="Courier New"/>
      <w:b/>
      <w:bCs/>
      <w:kern w:val="44"/>
      <w:sz w:val="44"/>
      <w:szCs w:val="44"/>
    </w:rPr>
  </w:style>
  <w:style w:type="paragraph" w:styleId="4">
    <w:name w:val="heading 2"/>
    <w:basedOn w:val="1"/>
    <w:next w:val="5"/>
    <w:qFormat/>
    <w:uiPriority w:val="0"/>
    <w:pPr>
      <w:keepNext/>
      <w:spacing w:line="720" w:lineRule="exact"/>
      <w:outlineLvl w:val="1"/>
    </w:pPr>
    <w:rPr>
      <w:rFonts w:ascii="黑体" w:hAnsi="Copperplate Gothic Bold" w:eastAsia="楷体_GB2312"/>
      <w:sz w:val="28"/>
    </w:rPr>
  </w:style>
  <w:style w:type="paragraph" w:styleId="6">
    <w:name w:val="heading 3"/>
    <w:basedOn w:val="1"/>
    <w:next w:val="1"/>
    <w:qFormat/>
    <w:uiPriority w:val="9"/>
    <w:pPr>
      <w:keepNext/>
      <w:keepLines/>
      <w:spacing w:before="260" w:after="260" w:line="416" w:lineRule="auto"/>
      <w:outlineLvl w:val="2"/>
    </w:pPr>
    <w:rPr>
      <w:b/>
      <w:bCs/>
      <w:szCs w:val="32"/>
    </w:rPr>
  </w:style>
  <w:style w:type="paragraph" w:styleId="7">
    <w:name w:val="heading 4"/>
    <w:basedOn w:val="1"/>
    <w:next w:val="1"/>
    <w:qFormat/>
    <w:uiPriority w:val="0"/>
    <w:pPr>
      <w:keepNext/>
      <w:keepLines/>
      <w:spacing w:line="360" w:lineRule="auto"/>
      <w:outlineLvl w:val="3"/>
    </w:pPr>
    <w:rPr>
      <w:rFonts w:ascii="Arial" w:hAnsi="Arial" w:eastAsia="宋体"/>
      <w:b/>
      <w:bCs/>
      <w:sz w:val="21"/>
      <w:szCs w:val="28"/>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Indent"/>
    <w:basedOn w:val="1"/>
    <w:qFormat/>
    <w:uiPriority w:val="0"/>
    <w:pPr>
      <w:ind w:firstLine="420"/>
    </w:pPr>
  </w:style>
  <w:style w:type="paragraph" w:styleId="8">
    <w:name w:val="List 3"/>
    <w:basedOn w:val="1"/>
    <w:unhideWhenUsed/>
    <w:qFormat/>
    <w:uiPriority w:val="99"/>
    <w:pPr>
      <w:ind w:left="100" w:leftChars="400" w:hanging="200" w:hangingChars="200"/>
    </w:pPr>
  </w:style>
  <w:style w:type="paragraph" w:styleId="9">
    <w:name w:val="annotation text"/>
    <w:basedOn w:val="1"/>
    <w:unhideWhenUsed/>
    <w:qFormat/>
    <w:uiPriority w:val="99"/>
    <w:pPr>
      <w:jc w:val="left"/>
    </w:pPr>
  </w:style>
  <w:style w:type="paragraph" w:styleId="10">
    <w:name w:val="Body Text 3"/>
    <w:basedOn w:val="1"/>
    <w:unhideWhenUsed/>
    <w:qFormat/>
    <w:uiPriority w:val="99"/>
    <w:pPr>
      <w:spacing w:after="120"/>
    </w:pPr>
    <w:rPr>
      <w:sz w:val="16"/>
      <w:szCs w:val="16"/>
    </w:rPr>
  </w:style>
  <w:style w:type="paragraph" w:styleId="11">
    <w:name w:val="Body Text"/>
    <w:basedOn w:val="1"/>
    <w:next w:val="1"/>
    <w:qFormat/>
    <w:uiPriority w:val="0"/>
    <w:pPr>
      <w:jc w:val="left"/>
    </w:pPr>
    <w:rPr>
      <w:rFonts w:ascii="Copperplate Gothic Bold" w:hAnsi="Copperplate Gothic Bold"/>
      <w:sz w:val="28"/>
    </w:rPr>
  </w:style>
  <w:style w:type="paragraph" w:styleId="12">
    <w:name w:val="Body Text Indent"/>
    <w:basedOn w:val="1"/>
    <w:qFormat/>
    <w:uiPriority w:val="0"/>
    <w:pPr>
      <w:ind w:firstLine="560" w:firstLineChars="200"/>
    </w:pPr>
  </w:style>
  <w:style w:type="paragraph" w:styleId="13">
    <w:name w:val="Plain Text"/>
    <w:basedOn w:val="1"/>
    <w:link w:val="38"/>
    <w:unhideWhenUsed/>
    <w:qFormat/>
    <w:uiPriority w:val="0"/>
    <w:rPr>
      <w:rFonts w:ascii="宋体" w:hAnsi="Courier New"/>
      <w:szCs w:val="21"/>
    </w:rPr>
  </w:style>
  <w:style w:type="paragraph" w:styleId="14">
    <w:name w:val="Body Text Indent 2"/>
    <w:basedOn w:val="1"/>
    <w:qFormat/>
    <w:uiPriority w:val="0"/>
    <w:pPr>
      <w:spacing w:line="500" w:lineRule="exact"/>
      <w:ind w:firstLine="540" w:firstLineChars="200"/>
    </w:pPr>
    <w:rPr>
      <w:rFonts w:ascii="宋体" w:hAnsi="宋体"/>
      <w:sz w:val="27"/>
      <w:szCs w:val="27"/>
    </w:rPr>
  </w:style>
  <w:style w:type="paragraph" w:styleId="15">
    <w:name w:val="footer"/>
    <w:basedOn w:val="1"/>
    <w:qFormat/>
    <w:uiPriority w:val="0"/>
    <w:pPr>
      <w:tabs>
        <w:tab w:val="center" w:pos="4153"/>
        <w:tab w:val="right" w:pos="8306"/>
      </w:tabs>
      <w:snapToGrid w:val="0"/>
      <w:jc w:val="left"/>
    </w:pPr>
    <w:rPr>
      <w:sz w:val="18"/>
    </w:rPr>
  </w:style>
  <w:style w:type="paragraph" w:styleId="16">
    <w:name w:val="toc 1"/>
    <w:basedOn w:val="1"/>
    <w:next w:val="1"/>
    <w:unhideWhenUsed/>
    <w:qFormat/>
    <w:uiPriority w:val="39"/>
    <w:pPr>
      <w:adjustRightInd w:val="0"/>
      <w:spacing w:before="120" w:after="120" w:line="360" w:lineRule="auto"/>
      <w:ind w:firstLine="425"/>
      <w:jc w:val="left"/>
      <w:textAlignment w:val="baseline"/>
    </w:pPr>
    <w:rPr>
      <w:b/>
      <w:caps/>
      <w:sz w:val="20"/>
      <w:szCs w:val="20"/>
    </w:rPr>
  </w:style>
  <w:style w:type="paragraph" w:styleId="17">
    <w:name w:val="footnote text"/>
    <w:basedOn w:val="1"/>
    <w:unhideWhenUsed/>
    <w:qFormat/>
    <w:uiPriority w:val="99"/>
    <w:pPr>
      <w:snapToGrid w:val="0"/>
      <w:jc w:val="left"/>
    </w:pPr>
    <w:rPr>
      <w:sz w:val="18"/>
      <w:szCs w:val="18"/>
    </w:rPr>
  </w:style>
  <w:style w:type="paragraph" w:styleId="1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9">
    <w:name w:val="Body Text First Indent 2"/>
    <w:basedOn w:val="12"/>
    <w:qFormat/>
    <w:uiPriority w:val="0"/>
    <w:pPr>
      <w:ind w:firstLine="420"/>
    </w:pPr>
  </w:style>
  <w:style w:type="table" w:styleId="21">
    <w:name w:val="Table Grid"/>
    <w:basedOn w:val="20"/>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22"/>
    <w:rPr>
      <w:b/>
      <w:bCs/>
    </w:rPr>
  </w:style>
  <w:style w:type="character" w:styleId="24">
    <w:name w:val="page number"/>
    <w:basedOn w:val="22"/>
    <w:unhideWhenUsed/>
    <w:qFormat/>
    <w:uiPriority w:val="99"/>
  </w:style>
  <w:style w:type="character" w:styleId="25">
    <w:name w:val="FollowedHyperlink"/>
    <w:unhideWhenUsed/>
    <w:qFormat/>
    <w:uiPriority w:val="99"/>
    <w:rPr>
      <w:color w:val="333333"/>
      <w:u w:val="none"/>
    </w:rPr>
  </w:style>
  <w:style w:type="character" w:styleId="26">
    <w:name w:val="Emphasis"/>
    <w:qFormat/>
    <w:uiPriority w:val="20"/>
  </w:style>
  <w:style w:type="character" w:styleId="27">
    <w:name w:val="HTML Definition"/>
    <w:unhideWhenUsed/>
    <w:qFormat/>
    <w:uiPriority w:val="99"/>
  </w:style>
  <w:style w:type="character" w:styleId="28">
    <w:name w:val="HTML Typewriter"/>
    <w:basedOn w:val="22"/>
    <w:unhideWhenUsed/>
    <w:qFormat/>
    <w:uiPriority w:val="99"/>
    <w:rPr>
      <w:rFonts w:hint="default" w:ascii="monospace" w:hAnsi="monospace" w:eastAsia="monospace" w:cs="monospace"/>
      <w:sz w:val="20"/>
    </w:rPr>
  </w:style>
  <w:style w:type="character" w:styleId="29">
    <w:name w:val="HTML Acronym"/>
    <w:basedOn w:val="22"/>
    <w:unhideWhenUsed/>
    <w:qFormat/>
    <w:uiPriority w:val="99"/>
  </w:style>
  <w:style w:type="character" w:styleId="30">
    <w:name w:val="HTML Variable"/>
    <w:unhideWhenUsed/>
    <w:qFormat/>
    <w:uiPriority w:val="99"/>
  </w:style>
  <w:style w:type="character" w:styleId="31">
    <w:name w:val="Hyperlink"/>
    <w:basedOn w:val="22"/>
    <w:unhideWhenUsed/>
    <w:qFormat/>
    <w:uiPriority w:val="99"/>
    <w:rPr>
      <w:color w:val="000000"/>
      <w:u w:val="none"/>
    </w:rPr>
  </w:style>
  <w:style w:type="character" w:styleId="32">
    <w:name w:val="HTML Code"/>
    <w:unhideWhenUsed/>
    <w:qFormat/>
    <w:uiPriority w:val="99"/>
    <w:rPr>
      <w:rFonts w:ascii="Courier New" w:hAnsi="Courier New"/>
      <w:sz w:val="20"/>
    </w:rPr>
  </w:style>
  <w:style w:type="character" w:styleId="33">
    <w:name w:val="HTML Cite"/>
    <w:unhideWhenUsed/>
    <w:qFormat/>
    <w:uiPriority w:val="99"/>
  </w:style>
  <w:style w:type="character" w:styleId="34">
    <w:name w:val="footnote reference"/>
    <w:unhideWhenUsed/>
    <w:qFormat/>
    <w:uiPriority w:val="99"/>
    <w:rPr>
      <w:vertAlign w:val="superscript"/>
    </w:rPr>
  </w:style>
  <w:style w:type="character" w:styleId="35">
    <w:name w:val="HTML Keyboard"/>
    <w:basedOn w:val="22"/>
    <w:unhideWhenUsed/>
    <w:qFormat/>
    <w:uiPriority w:val="99"/>
    <w:rPr>
      <w:rFonts w:hint="default" w:ascii="Consolas" w:hAnsi="Consolas" w:eastAsia="Consolas" w:cs="Consolas"/>
      <w:color w:val="FFFFFF"/>
      <w:sz w:val="21"/>
      <w:szCs w:val="21"/>
      <w:shd w:val="clear" w:color="auto" w:fill="333333"/>
    </w:rPr>
  </w:style>
  <w:style w:type="character" w:styleId="36">
    <w:name w:val="HTML Sample"/>
    <w:basedOn w:val="22"/>
    <w:unhideWhenUsed/>
    <w:qFormat/>
    <w:uiPriority w:val="99"/>
    <w:rPr>
      <w:rFonts w:hint="default" w:ascii="Consolas" w:hAnsi="Consolas" w:eastAsia="Consolas" w:cs="Consolas"/>
      <w:sz w:val="21"/>
      <w:szCs w:val="21"/>
    </w:rPr>
  </w:style>
  <w:style w:type="paragraph" w:customStyle="1" w:styleId="37">
    <w:name w:val="Char"/>
    <w:basedOn w:val="1"/>
    <w:qFormat/>
    <w:uiPriority w:val="0"/>
  </w:style>
  <w:style w:type="character" w:customStyle="1" w:styleId="38">
    <w:name w:val="纯文本 Char"/>
    <w:link w:val="13"/>
    <w:qFormat/>
    <w:uiPriority w:val="0"/>
    <w:rPr>
      <w:rFonts w:ascii="宋体" w:hAnsi="Courier New" w:eastAsia="仿宋_GB2312" w:cs="Courier New"/>
      <w:kern w:val="2"/>
      <w:sz w:val="32"/>
      <w:szCs w:val="21"/>
    </w:rPr>
  </w:style>
  <w:style w:type="character" w:customStyle="1" w:styleId="39">
    <w:name w:val="glyphicon4"/>
    <w:basedOn w:val="22"/>
    <w:qFormat/>
    <w:uiPriority w:val="0"/>
  </w:style>
  <w:style w:type="character" w:customStyle="1" w:styleId="40">
    <w:name w:val="font61"/>
    <w:qFormat/>
    <w:uiPriority w:val="0"/>
    <w:rPr>
      <w:rFonts w:hint="eastAsia" w:ascii="仿宋" w:hAnsi="仿宋" w:eastAsia="仿宋" w:cs="仿宋"/>
      <w:color w:val="000000"/>
      <w:sz w:val="16"/>
      <w:szCs w:val="16"/>
      <w:u w:val="none"/>
    </w:rPr>
  </w:style>
  <w:style w:type="character" w:customStyle="1" w:styleId="41">
    <w:name w:val="hover16"/>
    <w:qFormat/>
    <w:uiPriority w:val="0"/>
    <w:rPr>
      <w:color w:val="ECEBEB"/>
    </w:rPr>
  </w:style>
  <w:style w:type="character" w:customStyle="1" w:styleId="42">
    <w:name w:val="indent"/>
    <w:basedOn w:val="22"/>
    <w:qFormat/>
    <w:uiPriority w:val="0"/>
  </w:style>
  <w:style w:type="character" w:customStyle="1" w:styleId="43">
    <w:name w:val="button"/>
    <w:basedOn w:val="22"/>
    <w:qFormat/>
    <w:uiPriority w:val="0"/>
  </w:style>
  <w:style w:type="character" w:customStyle="1" w:styleId="44">
    <w:name w:val="hour_pm"/>
    <w:basedOn w:val="22"/>
    <w:qFormat/>
    <w:uiPriority w:val="0"/>
  </w:style>
  <w:style w:type="character" w:customStyle="1" w:styleId="45">
    <w:name w:val="on"/>
    <w:basedOn w:val="22"/>
    <w:qFormat/>
    <w:uiPriority w:val="0"/>
  </w:style>
  <w:style w:type="character" w:customStyle="1" w:styleId="46">
    <w:name w:val="font101"/>
    <w:qFormat/>
    <w:uiPriority w:val="0"/>
    <w:rPr>
      <w:rFonts w:hint="eastAsia" w:ascii="宋体" w:hAnsi="宋体" w:eastAsia="宋体" w:cs="宋体"/>
      <w:color w:val="000000"/>
      <w:sz w:val="16"/>
      <w:szCs w:val="16"/>
      <w:u w:val="none"/>
    </w:rPr>
  </w:style>
  <w:style w:type="character" w:customStyle="1" w:styleId="47">
    <w:name w:val="tmpztreemove_arrow"/>
    <w:basedOn w:val="22"/>
    <w:qFormat/>
    <w:uiPriority w:val="0"/>
    <w:rPr>
      <w:shd w:val="clear" w:color="auto" w:fill="FFFFFF"/>
    </w:rPr>
  </w:style>
  <w:style w:type="character" w:customStyle="1" w:styleId="48">
    <w:name w:val="hover3"/>
    <w:basedOn w:val="22"/>
    <w:qFormat/>
    <w:uiPriority w:val="0"/>
    <w:rPr>
      <w:shd w:val="clear" w:color="auto" w:fill="EEEEEE"/>
    </w:rPr>
  </w:style>
  <w:style w:type="character" w:customStyle="1" w:styleId="49">
    <w:name w:val="font11"/>
    <w:qFormat/>
    <w:uiPriority w:val="0"/>
    <w:rPr>
      <w:rFonts w:hint="eastAsia" w:ascii="宋体" w:hAnsi="宋体" w:eastAsia="宋体" w:cs="宋体"/>
      <w:color w:val="000000"/>
      <w:sz w:val="24"/>
      <w:szCs w:val="24"/>
      <w:u w:val="none"/>
    </w:rPr>
  </w:style>
  <w:style w:type="character" w:customStyle="1" w:styleId="50">
    <w:name w:val="hour_am"/>
    <w:basedOn w:val="22"/>
    <w:qFormat/>
    <w:uiPriority w:val="0"/>
  </w:style>
  <w:style w:type="character" w:customStyle="1" w:styleId="51">
    <w:name w:val="font41"/>
    <w:qFormat/>
    <w:uiPriority w:val="0"/>
    <w:rPr>
      <w:rFonts w:hint="eastAsia" w:ascii="仿宋" w:hAnsi="仿宋" w:eastAsia="仿宋" w:cs="仿宋"/>
      <w:b/>
      <w:color w:val="000000"/>
      <w:sz w:val="16"/>
      <w:szCs w:val="16"/>
      <w:u w:val="none"/>
    </w:rPr>
  </w:style>
  <w:style w:type="character" w:customStyle="1" w:styleId="52">
    <w:name w:val="old"/>
    <w:basedOn w:val="22"/>
    <w:qFormat/>
    <w:uiPriority w:val="0"/>
    <w:rPr>
      <w:color w:val="999999"/>
    </w:rPr>
  </w:style>
  <w:style w:type="paragraph" w:customStyle="1" w:styleId="53">
    <w:name w:val="TOC 标题1"/>
    <w:basedOn w:val="3"/>
    <w:next w:val="1"/>
    <w:qFormat/>
    <w:uiPriority w:val="99"/>
    <w:pPr>
      <w:spacing w:before="480" w:after="0" w:line="276" w:lineRule="auto"/>
      <w:outlineLvl w:val="9"/>
    </w:pPr>
    <w:rPr>
      <w:rFonts w:ascii="仿宋" w:hAnsi="仿宋" w:eastAsia="仿宋"/>
      <w:color w:val="000000"/>
      <w:kern w:val="0"/>
      <w:szCs w:val="32"/>
    </w:rPr>
  </w:style>
  <w:style w:type="paragraph" w:customStyle="1" w:styleId="54">
    <w:name w:val="图"/>
    <w:basedOn w:val="1"/>
    <w:qFormat/>
    <w:uiPriority w:val="0"/>
    <w:pPr>
      <w:keepNext/>
      <w:adjustRightInd w:val="0"/>
      <w:snapToGrid w:val="0"/>
      <w:spacing w:before="60" w:after="60" w:line="300" w:lineRule="auto"/>
      <w:jc w:val="center"/>
    </w:pPr>
    <w:rPr>
      <w:spacing w:val="20"/>
      <w:kern w:val="0"/>
      <w:sz w:val="24"/>
      <w:szCs w:val="20"/>
    </w:rPr>
  </w:style>
  <w:style w:type="paragraph" w:customStyle="1" w:styleId="55">
    <w:name w:val="标题2"/>
    <w:basedOn w:val="1"/>
    <w:qFormat/>
    <w:uiPriority w:val="0"/>
    <w:pPr>
      <w:spacing w:afterLines="50"/>
      <w:ind w:firstLine="196" w:firstLineChars="196"/>
    </w:pPr>
    <w:rPr>
      <w:rFonts w:ascii="黑体" w:eastAsia="黑体"/>
      <w:sz w:val="28"/>
      <w:szCs w:val="28"/>
    </w:rPr>
  </w:style>
  <w:style w:type="paragraph" w:customStyle="1" w:styleId="56">
    <w:name w:val="普通 (Web)"/>
    <w:basedOn w:val="1"/>
    <w:qFormat/>
    <w:uiPriority w:val="0"/>
    <w:pPr>
      <w:widowControl/>
      <w:spacing w:before="100" w:beforeAutospacing="1" w:after="100" w:afterAutospacing="1"/>
      <w:jc w:val="left"/>
    </w:pPr>
    <w:rPr>
      <w:rFonts w:ascii="宋体" w:hAnsi="宋体"/>
      <w:kern w:val="0"/>
      <w:sz w:val="24"/>
    </w:rPr>
  </w:style>
  <w:style w:type="paragraph" w:customStyle="1" w:styleId="57">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58">
    <w:name w:val="正文格式"/>
    <w:basedOn w:val="1"/>
    <w:qFormat/>
    <w:uiPriority w:val="0"/>
    <w:pPr>
      <w:spacing w:line="360" w:lineRule="auto"/>
      <w:ind w:firstLine="482"/>
    </w:pPr>
    <w:rPr>
      <w:rFonts w:ascii="宋体" w:hAnsi="宋体"/>
      <w:kern w:val="0"/>
      <w:sz w:val="24"/>
      <w:lang w:val="zh-CN"/>
    </w:rPr>
  </w:style>
  <w:style w:type="paragraph" w:customStyle="1" w:styleId="59">
    <w:name w:val="表格文字中"/>
    <w:basedOn w:val="1"/>
    <w:qFormat/>
    <w:uiPriority w:val="0"/>
    <w:pPr>
      <w:adjustRightInd w:val="0"/>
      <w:snapToGrid w:val="0"/>
      <w:ind w:left="22" w:leftChars="8"/>
      <w:jc w:val="center"/>
    </w:pPr>
    <w:rPr>
      <w:kern w:val="0"/>
    </w:rPr>
  </w:style>
  <w:style w:type="paragraph" w:styleId="60">
    <w:name w:val="List Paragraph"/>
    <w:basedOn w:val="1"/>
    <w:qFormat/>
    <w:uiPriority w:val="34"/>
    <w:pPr>
      <w:ind w:firstLine="420" w:firstLineChars="200"/>
    </w:pPr>
  </w:style>
  <w:style w:type="paragraph" w:customStyle="1" w:styleId="61">
    <w:name w:val="title1"/>
    <w:basedOn w:val="1"/>
    <w:qFormat/>
    <w:uiPriority w:val="0"/>
    <w:pPr>
      <w:spacing w:before="150" w:line="450" w:lineRule="atLeast"/>
      <w:jc w:val="left"/>
    </w:pPr>
    <w:rPr>
      <w:b/>
      <w:kern w:val="0"/>
      <w:sz w:val="24"/>
    </w:rPr>
  </w:style>
  <w:style w:type="character" w:customStyle="1" w:styleId="62">
    <w:name w:val="mini-outputtext1"/>
    <w:basedOn w:val="22"/>
    <w:qFormat/>
    <w:uiPriority w:val="0"/>
  </w:style>
  <w:style w:type="character" w:customStyle="1" w:styleId="63">
    <w:name w:val="font161"/>
    <w:qFormat/>
    <w:uiPriority w:val="0"/>
    <w:rPr>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34</Pages>
  <Words>24225</Words>
  <Characters>26108</Characters>
  <Lines>21</Lines>
  <Paragraphs>6</Paragraphs>
  <TotalTime>1</TotalTime>
  <ScaleCrop>false</ScaleCrop>
  <LinksUpToDate>false</LinksUpToDate>
  <CharactersWithSpaces>26481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2021-07-29T10:28:00Z</dcterms:created>
  <dc:creator>白剑锋</dc:creator>
  <cp:lastModifiedBy>WPS_1605000929</cp:lastModifiedBy>
  <cp:lastPrinted>2021-07-26T09:15:00Z</cp:lastPrinted>
  <dcterms:modified xsi:type="dcterms:W3CDTF">2022-08-01T01:38:03Z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99DF71A66EA748F4A4B1B45ED77ABF9F</vt:lpwstr>
  </property>
</Properties>
</file>