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49" w:rsidRDefault="00480449" w:rsidP="00480449">
      <w:pPr>
        <w:wordWrap w:val="0"/>
        <w:topLinePunct/>
        <w:spacing w:line="540" w:lineRule="exact"/>
        <w:jc w:val="center"/>
        <w:rPr>
          <w:rFonts w:eastAsia="黑体"/>
          <w:sz w:val="28"/>
        </w:rPr>
      </w:pPr>
      <w:bookmarkStart w:id="0" w:name="_Toc510015737"/>
      <w:bookmarkStart w:id="1" w:name="_Toc503235805"/>
      <w:r w:rsidRPr="00480449">
        <w:rPr>
          <w:rFonts w:eastAsia="黑体" w:hint="eastAsia"/>
          <w:sz w:val="28"/>
        </w:rPr>
        <w:t>安岚高速吉河连接线及</w:t>
      </w:r>
      <w:r w:rsidRPr="00480449">
        <w:rPr>
          <w:rFonts w:eastAsia="黑体" w:hint="eastAsia"/>
          <w:sz w:val="28"/>
        </w:rPr>
        <w:t>S207</w:t>
      </w:r>
      <w:r w:rsidRPr="00480449">
        <w:rPr>
          <w:rFonts w:eastAsia="黑体" w:hint="eastAsia"/>
          <w:sz w:val="28"/>
        </w:rPr>
        <w:t>旧线吉河口至瀛湖段养护工程</w:t>
      </w:r>
    </w:p>
    <w:p w:rsidR="00F7563E" w:rsidRDefault="007E26A3" w:rsidP="00480449">
      <w:pPr>
        <w:wordWrap w:val="0"/>
        <w:topLinePunct/>
        <w:spacing w:line="540" w:lineRule="exact"/>
        <w:jc w:val="center"/>
        <w:rPr>
          <w:rFonts w:eastAsia="黑体"/>
          <w:sz w:val="28"/>
        </w:rPr>
      </w:pPr>
      <w:r>
        <w:rPr>
          <w:rFonts w:eastAsia="黑体" w:hint="eastAsia"/>
          <w:sz w:val="28"/>
        </w:rPr>
        <w:t>施工监理标段</w:t>
      </w:r>
      <w:r w:rsidR="00480449" w:rsidRPr="00480449">
        <w:rPr>
          <w:rFonts w:eastAsia="黑体" w:hint="eastAsia"/>
          <w:sz w:val="28"/>
        </w:rPr>
        <w:t>评标办法</w:t>
      </w:r>
      <w:r w:rsidR="009361B9">
        <w:rPr>
          <w:rFonts w:eastAsia="黑体"/>
          <w:sz w:val="28"/>
        </w:rPr>
        <w:t>（综合评估法）</w:t>
      </w:r>
    </w:p>
    <w:p w:rsidR="00F7563E" w:rsidRDefault="009361B9">
      <w:pPr>
        <w:keepNext/>
        <w:keepLines/>
        <w:adjustRightInd/>
        <w:spacing w:before="480" w:after="240" w:line="380" w:lineRule="atLeast"/>
        <w:jc w:val="both"/>
        <w:textAlignment w:val="auto"/>
        <w:outlineLvl w:val="1"/>
        <w:rPr>
          <w:rFonts w:eastAsia="黑体"/>
          <w:bCs/>
          <w:kern w:val="44"/>
          <w:sz w:val="24"/>
          <w:szCs w:val="24"/>
        </w:rPr>
      </w:pPr>
      <w:r>
        <w:rPr>
          <w:rFonts w:eastAsia="黑体"/>
          <w:bCs/>
          <w:kern w:val="44"/>
          <w:sz w:val="24"/>
          <w:szCs w:val="24"/>
        </w:rPr>
        <w:t>评标办法前附表</w:t>
      </w:r>
    </w:p>
    <w:tbl>
      <w:tblPr>
        <w:tblW w:w="8816" w:type="dxa"/>
        <w:tblBorders>
          <w:top w:val="single" w:sz="4" w:space="0" w:color="auto"/>
          <w:left w:val="single" w:sz="4" w:space="0" w:color="auto"/>
          <w:bottom w:val="single" w:sz="4" w:space="0" w:color="auto"/>
          <w:right w:val="single" w:sz="4" w:space="0" w:color="auto"/>
        </w:tblBorders>
        <w:tblLayout w:type="fixed"/>
        <w:tblLook w:val="04A0"/>
      </w:tblPr>
      <w:tblGrid>
        <w:gridCol w:w="942"/>
        <w:gridCol w:w="659"/>
        <w:gridCol w:w="652"/>
        <w:gridCol w:w="872"/>
        <w:gridCol w:w="1236"/>
        <w:gridCol w:w="769"/>
        <w:gridCol w:w="3686"/>
      </w:tblGrid>
      <w:tr w:rsidR="00F7563E">
        <w:trPr>
          <w:tblHeader/>
        </w:trPr>
        <w:tc>
          <w:tcPr>
            <w:tcW w:w="2253" w:type="dxa"/>
            <w:gridSpan w:val="3"/>
            <w:tcBorders>
              <w:top w:val="single" w:sz="4" w:space="0" w:color="auto"/>
              <w:left w:val="single" w:sz="4" w:space="0" w:color="auto"/>
              <w:bottom w:val="single" w:sz="4" w:space="0" w:color="auto"/>
              <w:right w:val="single" w:sz="4" w:space="0" w:color="auto"/>
            </w:tcBorders>
            <w:vAlign w:val="center"/>
          </w:tcPr>
          <w:bookmarkEnd w:id="0"/>
          <w:bookmarkEnd w:id="1"/>
          <w:p w:rsidR="00F7563E" w:rsidRDefault="009361B9">
            <w:pPr>
              <w:widowControl/>
              <w:spacing w:line="380" w:lineRule="atLeast"/>
              <w:jc w:val="center"/>
              <w:rPr>
                <w:rFonts w:eastAsia="Times New Roman"/>
                <w:b/>
                <w:sz w:val="24"/>
              </w:rPr>
            </w:pPr>
            <w:r>
              <w:rPr>
                <w:b/>
                <w:sz w:val="24"/>
              </w:rPr>
              <w:t>条款号</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b/>
                <w:spacing w:val="4"/>
                <w:sz w:val="24"/>
              </w:rPr>
            </w:pPr>
            <w:r>
              <w:rPr>
                <w:b/>
                <w:spacing w:val="4"/>
                <w:sz w:val="24"/>
              </w:rPr>
              <w:t>评审因素与评审标准</w:t>
            </w:r>
          </w:p>
        </w:tc>
      </w:tr>
      <w:tr w:rsidR="00F7563E">
        <w:tc>
          <w:tcPr>
            <w:tcW w:w="94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rPr>
              <w:t>1</w:t>
            </w:r>
          </w:p>
        </w:tc>
        <w:tc>
          <w:tcPr>
            <w:tcW w:w="1311" w:type="dxa"/>
            <w:gridSpan w:val="2"/>
            <w:tcBorders>
              <w:top w:val="single" w:sz="4" w:space="0" w:color="auto"/>
              <w:left w:val="nil"/>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评标方法</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60" w:lineRule="atLeast"/>
              <w:ind w:firstLineChars="200" w:firstLine="480"/>
              <w:rPr>
                <w:rFonts w:eastAsia="Times New Roman"/>
                <w:sz w:val="24"/>
              </w:rPr>
            </w:pPr>
            <w:r>
              <w:rPr>
                <w:sz w:val="24"/>
              </w:rPr>
              <w:t>综合评分相等时，评标委员会依次按照以下优先顺序推荐中标候选人或确定中标人：</w:t>
            </w:r>
          </w:p>
          <w:p w:rsidR="00F7563E" w:rsidRDefault="009361B9">
            <w:pPr>
              <w:widowControl/>
              <w:spacing w:line="360" w:lineRule="atLeast"/>
              <w:ind w:firstLineChars="200" w:firstLine="480"/>
              <w:rPr>
                <w:rFonts w:eastAsia="Times New Roman"/>
                <w:sz w:val="24"/>
              </w:rPr>
            </w:pPr>
            <w:r>
              <w:rPr>
                <w:sz w:val="24"/>
              </w:rPr>
              <w:t>（</w:t>
            </w:r>
            <w:r>
              <w:rPr>
                <w:sz w:val="24"/>
              </w:rPr>
              <w:t>1</w:t>
            </w:r>
            <w:r>
              <w:rPr>
                <w:sz w:val="24"/>
              </w:rPr>
              <w:t>）评标价低的投标人优先；</w:t>
            </w:r>
          </w:p>
          <w:p w:rsidR="00F7563E" w:rsidRDefault="009361B9">
            <w:pPr>
              <w:widowControl/>
              <w:spacing w:line="360" w:lineRule="atLeast"/>
              <w:ind w:firstLineChars="200" w:firstLine="480"/>
              <w:rPr>
                <w:rFonts w:eastAsia="Times New Roman"/>
                <w:sz w:val="24"/>
              </w:rPr>
            </w:pPr>
            <w:r>
              <w:rPr>
                <w:sz w:val="24"/>
              </w:rPr>
              <w:t>（</w:t>
            </w:r>
            <w:r>
              <w:rPr>
                <w:sz w:val="24"/>
              </w:rPr>
              <w:t>2</w:t>
            </w:r>
            <w:r>
              <w:rPr>
                <w:sz w:val="24"/>
              </w:rPr>
              <w:t>）商务和技术得分较高的投标人优先；</w:t>
            </w:r>
          </w:p>
          <w:p w:rsidR="00F7563E" w:rsidRDefault="009361B9">
            <w:pPr>
              <w:widowControl/>
              <w:spacing w:line="360" w:lineRule="atLeast"/>
              <w:ind w:firstLineChars="200" w:firstLine="480"/>
              <w:rPr>
                <w:rFonts w:eastAsia="Times New Roman"/>
                <w:b/>
                <w:sz w:val="24"/>
              </w:rPr>
            </w:pPr>
            <w:r>
              <w:rPr>
                <w:sz w:val="24"/>
              </w:rPr>
              <w:t>（</w:t>
            </w:r>
            <w:r>
              <w:rPr>
                <w:rFonts w:hint="eastAsia"/>
                <w:sz w:val="24"/>
              </w:rPr>
              <w:t>3</w:t>
            </w:r>
            <w:r>
              <w:rPr>
                <w:sz w:val="24"/>
              </w:rPr>
              <w:t>）商务和技术文件得分相等时，则以递交文件顺序较前的优先。</w:t>
            </w:r>
          </w:p>
        </w:tc>
      </w:tr>
      <w:tr w:rsidR="00F7563E">
        <w:tc>
          <w:tcPr>
            <w:tcW w:w="94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rPr>
              <w:t>2.1.1</w:t>
            </w:r>
          </w:p>
          <w:p w:rsidR="00F7563E" w:rsidRDefault="009361B9">
            <w:pPr>
              <w:widowControl/>
              <w:spacing w:line="380" w:lineRule="atLeast"/>
              <w:jc w:val="center"/>
              <w:rPr>
                <w:rFonts w:eastAsia="Times New Roman"/>
                <w:sz w:val="24"/>
              </w:rPr>
            </w:pPr>
            <w:r>
              <w:rPr>
                <w:rFonts w:eastAsia="Times New Roman"/>
                <w:sz w:val="24"/>
              </w:rPr>
              <w:t>2.1.3</w:t>
            </w:r>
          </w:p>
        </w:tc>
        <w:tc>
          <w:tcPr>
            <w:tcW w:w="1311" w:type="dxa"/>
            <w:gridSpan w:val="2"/>
            <w:tcBorders>
              <w:top w:val="single" w:sz="4" w:space="0" w:color="auto"/>
              <w:left w:val="nil"/>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形式评审与响应性评审标准</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60" w:lineRule="atLeast"/>
              <w:ind w:firstLineChars="200" w:firstLine="482"/>
              <w:rPr>
                <w:rFonts w:eastAsia="Times New Roman"/>
                <w:b/>
                <w:sz w:val="24"/>
              </w:rPr>
            </w:pPr>
            <w:r>
              <w:rPr>
                <w:b/>
                <w:sz w:val="24"/>
              </w:rPr>
              <w:t>第一个信封（商务及技术文件）评审标准：</w:t>
            </w:r>
          </w:p>
          <w:p w:rsidR="00F7563E" w:rsidRDefault="009361B9">
            <w:pPr>
              <w:widowControl/>
              <w:spacing w:line="360" w:lineRule="atLeast"/>
              <w:ind w:firstLineChars="200" w:firstLine="480"/>
              <w:rPr>
                <w:rFonts w:eastAsia="Times New Roman"/>
                <w:sz w:val="24"/>
              </w:rPr>
            </w:pPr>
            <w:r>
              <w:rPr>
                <w:sz w:val="24"/>
              </w:rPr>
              <w:t>（</w:t>
            </w:r>
            <w:r>
              <w:rPr>
                <w:sz w:val="24"/>
              </w:rPr>
              <w:t>1</w:t>
            </w:r>
            <w:r>
              <w:rPr>
                <w:sz w:val="24"/>
              </w:rPr>
              <w:t>）投标文件按照招标文件规定的格式、内容填写，字迹清晰可辨：</w:t>
            </w:r>
          </w:p>
          <w:p w:rsidR="00F7563E" w:rsidRDefault="009361B9">
            <w:pPr>
              <w:widowControl/>
              <w:spacing w:line="360" w:lineRule="atLeast"/>
              <w:ind w:firstLineChars="200" w:firstLine="480"/>
              <w:rPr>
                <w:rFonts w:eastAsia="Times New Roman"/>
                <w:sz w:val="24"/>
              </w:rPr>
            </w:pPr>
            <w:r>
              <w:rPr>
                <w:rFonts w:eastAsia="Times New Roman"/>
                <w:sz w:val="24"/>
              </w:rPr>
              <w:t>a.</w:t>
            </w:r>
            <w:r>
              <w:rPr>
                <w:sz w:val="24"/>
              </w:rPr>
              <w:t>投标函按招标文件规定填报了项目名称、标段号、补遗书编号（如有）、监理服务期限、工程质量要求及安全目标；</w:t>
            </w:r>
          </w:p>
          <w:p w:rsidR="00F7563E" w:rsidRDefault="009361B9">
            <w:pPr>
              <w:widowControl/>
              <w:spacing w:line="360" w:lineRule="atLeast"/>
              <w:ind w:firstLineChars="200" w:firstLine="480"/>
              <w:rPr>
                <w:rFonts w:eastAsia="Times New Roman"/>
                <w:sz w:val="24"/>
              </w:rPr>
            </w:pPr>
            <w:r>
              <w:rPr>
                <w:rFonts w:eastAsia="Times New Roman"/>
                <w:sz w:val="24"/>
              </w:rPr>
              <w:t>b.</w:t>
            </w:r>
            <w:r>
              <w:rPr>
                <w:sz w:val="24"/>
              </w:rPr>
              <w:t>投标文件组成齐全完整，内容均按规定填写。</w:t>
            </w:r>
          </w:p>
          <w:p w:rsidR="00F7563E" w:rsidRDefault="009361B9">
            <w:pPr>
              <w:widowControl/>
              <w:spacing w:line="360" w:lineRule="atLeast"/>
              <w:ind w:firstLineChars="200" w:firstLine="480"/>
              <w:rPr>
                <w:rFonts w:eastAsia="Times New Roman"/>
                <w:sz w:val="24"/>
              </w:rPr>
            </w:pPr>
            <w:r>
              <w:rPr>
                <w:sz w:val="24"/>
              </w:rPr>
              <w:t>（</w:t>
            </w:r>
            <w:r>
              <w:rPr>
                <w:sz w:val="24"/>
              </w:rPr>
              <w:t>2</w:t>
            </w:r>
            <w:r>
              <w:rPr>
                <w:sz w:val="24"/>
              </w:rPr>
              <w:t>）投标文件上法定代表人或其委托代理人的签字、投标人的单位章盖章齐全，符合招标文件规定。</w:t>
            </w:r>
          </w:p>
          <w:p w:rsidR="00F7563E" w:rsidRDefault="009361B9">
            <w:pPr>
              <w:widowControl/>
              <w:spacing w:line="360" w:lineRule="atLeast"/>
              <w:ind w:firstLineChars="200" w:firstLine="480"/>
              <w:rPr>
                <w:rFonts w:eastAsia="Times New Roman"/>
                <w:sz w:val="24"/>
              </w:rPr>
            </w:pPr>
            <w:r>
              <w:rPr>
                <w:sz w:val="24"/>
              </w:rPr>
              <w:t>（</w:t>
            </w:r>
            <w:r>
              <w:rPr>
                <w:sz w:val="24"/>
              </w:rPr>
              <w:t>3</w:t>
            </w:r>
            <w:r>
              <w:rPr>
                <w:sz w:val="24"/>
              </w:rPr>
              <w:t>）投标人按照招标文件的规定提供了投标保证金：</w:t>
            </w:r>
          </w:p>
          <w:p w:rsidR="00F7563E" w:rsidRDefault="009361B9">
            <w:pPr>
              <w:widowControl/>
              <w:spacing w:line="360" w:lineRule="atLeast"/>
              <w:ind w:firstLineChars="200" w:firstLine="480"/>
              <w:rPr>
                <w:rFonts w:eastAsia="Times New Roman"/>
                <w:sz w:val="24"/>
              </w:rPr>
            </w:pPr>
            <w:r>
              <w:rPr>
                <w:rFonts w:eastAsia="Times New Roman"/>
                <w:sz w:val="24"/>
              </w:rPr>
              <w:t>a.</w:t>
            </w:r>
            <w:r>
              <w:rPr>
                <w:sz w:val="24"/>
              </w:rPr>
              <w:t>投标保证金金额符合招标文件规定的金额，且投标保证金有效期不少于投标有效期；</w:t>
            </w:r>
          </w:p>
          <w:p w:rsidR="00F7563E" w:rsidRDefault="009361B9">
            <w:pPr>
              <w:widowControl/>
              <w:spacing w:line="360" w:lineRule="atLeast"/>
              <w:ind w:firstLineChars="200" w:firstLine="480"/>
              <w:rPr>
                <w:rFonts w:eastAsia="Times New Roman"/>
                <w:sz w:val="24"/>
              </w:rPr>
            </w:pPr>
            <w:r>
              <w:rPr>
                <w:rFonts w:eastAsia="Times New Roman"/>
                <w:sz w:val="24"/>
              </w:rPr>
              <w:t>b.</w:t>
            </w:r>
            <w:r>
              <w:rPr>
                <w:sz w:val="24"/>
              </w:rPr>
              <w:t>若投标保证金采用现金或支票形式提交，投标人应在递交投标文件截止时间之前，将投标保证金由投标人的基本账户转入招标人指定账户；</w:t>
            </w:r>
          </w:p>
          <w:p w:rsidR="00F7563E" w:rsidRDefault="009361B9">
            <w:pPr>
              <w:widowControl/>
              <w:spacing w:line="360" w:lineRule="atLeast"/>
              <w:ind w:firstLineChars="200" w:firstLine="480"/>
              <w:rPr>
                <w:rFonts w:eastAsia="Times New Roman"/>
                <w:sz w:val="24"/>
              </w:rPr>
            </w:pPr>
            <w:r>
              <w:rPr>
                <w:rFonts w:eastAsia="Times New Roman"/>
                <w:sz w:val="24"/>
              </w:rPr>
              <w:t>c.</w:t>
            </w:r>
            <w:r>
              <w:rPr>
                <w:sz w:val="24"/>
              </w:rPr>
              <w:t>若投标保证金采用银行保函形式提交，银行保函的格式、开具保函的银行均满足招标文件要求，且在递交投标文件截止时间之前向招标人提交了银行保函原件。</w:t>
            </w:r>
          </w:p>
          <w:p w:rsidR="00F7563E" w:rsidRDefault="009361B9">
            <w:pPr>
              <w:widowControl/>
              <w:spacing w:line="360" w:lineRule="atLeast"/>
              <w:ind w:firstLineChars="200" w:firstLine="480"/>
              <w:rPr>
                <w:rFonts w:eastAsia="Times New Roman"/>
                <w:sz w:val="24"/>
              </w:rPr>
            </w:pPr>
            <w:r>
              <w:rPr>
                <w:sz w:val="24"/>
              </w:rPr>
              <w:t>（</w:t>
            </w:r>
            <w:r>
              <w:rPr>
                <w:sz w:val="24"/>
              </w:rPr>
              <w:t>4</w:t>
            </w:r>
            <w:r>
              <w:rPr>
                <w:sz w:val="24"/>
              </w:rPr>
              <w:t>）投标人法定代表人授权委托代理人签署投标文件的，须提交授权委托书，且授权人和被授权人均在授权委托书上签名，未使用印章、签名章或其他电子制版签名代替。</w:t>
            </w:r>
          </w:p>
          <w:p w:rsidR="00F7563E" w:rsidRDefault="009361B9">
            <w:pPr>
              <w:widowControl/>
              <w:spacing w:line="360" w:lineRule="atLeast"/>
              <w:ind w:firstLineChars="200" w:firstLine="480"/>
              <w:rPr>
                <w:rFonts w:eastAsia="Times New Roman"/>
                <w:sz w:val="24"/>
              </w:rPr>
            </w:pPr>
            <w:r>
              <w:rPr>
                <w:sz w:val="24"/>
              </w:rPr>
              <w:t>（</w:t>
            </w:r>
            <w:r>
              <w:rPr>
                <w:sz w:val="24"/>
              </w:rPr>
              <w:t>5</w:t>
            </w:r>
            <w:r>
              <w:rPr>
                <w:sz w:val="24"/>
              </w:rPr>
              <w:t>）投标人法定代表人亲自签署投标文件的，提供了法定代表人身份证明，且法定代表人在法定代表人身份证明上签名，未使用印章、签名章或其他电子制版签名代替。</w:t>
            </w:r>
          </w:p>
          <w:p w:rsidR="00F7563E" w:rsidRDefault="009361B9">
            <w:pPr>
              <w:widowControl/>
              <w:spacing w:line="360" w:lineRule="atLeast"/>
              <w:ind w:firstLineChars="200" w:firstLine="480"/>
              <w:rPr>
                <w:rFonts w:eastAsia="Times New Roman"/>
                <w:sz w:val="24"/>
              </w:rPr>
            </w:pPr>
            <w:r>
              <w:rPr>
                <w:sz w:val="24"/>
              </w:rPr>
              <w:t>（</w:t>
            </w:r>
            <w:r>
              <w:rPr>
                <w:sz w:val="24"/>
              </w:rPr>
              <w:t>6</w:t>
            </w:r>
            <w:r>
              <w:rPr>
                <w:sz w:val="24"/>
              </w:rPr>
              <w:t>）投标人未以联合体形式投标。</w:t>
            </w:r>
          </w:p>
          <w:p w:rsidR="00F7563E" w:rsidRDefault="009361B9">
            <w:pPr>
              <w:widowControl/>
              <w:spacing w:line="360" w:lineRule="atLeast"/>
              <w:ind w:firstLineChars="200" w:firstLine="480"/>
              <w:rPr>
                <w:rFonts w:eastAsia="Times New Roman"/>
                <w:sz w:val="24"/>
              </w:rPr>
            </w:pPr>
            <w:r>
              <w:rPr>
                <w:sz w:val="24"/>
              </w:rPr>
              <w:t>（</w:t>
            </w:r>
            <w:r>
              <w:rPr>
                <w:sz w:val="24"/>
              </w:rPr>
              <w:t>7</w:t>
            </w:r>
            <w:r>
              <w:rPr>
                <w:sz w:val="24"/>
              </w:rPr>
              <w:t>）同一投标人未提交两个以上</w:t>
            </w:r>
            <w:bookmarkStart w:id="2" w:name="_GoBack"/>
            <w:bookmarkEnd w:id="2"/>
            <w:r>
              <w:rPr>
                <w:sz w:val="24"/>
              </w:rPr>
              <w:t>不同的投标文件，但招</w:t>
            </w:r>
            <w:r>
              <w:rPr>
                <w:sz w:val="24"/>
              </w:rPr>
              <w:lastRenderedPageBreak/>
              <w:t>标文件要求提交备选投标的除外。</w:t>
            </w:r>
          </w:p>
          <w:p w:rsidR="00F7563E" w:rsidRDefault="009361B9">
            <w:pPr>
              <w:widowControl/>
              <w:spacing w:line="360" w:lineRule="atLeast"/>
              <w:ind w:firstLineChars="200" w:firstLine="480"/>
              <w:rPr>
                <w:rFonts w:eastAsia="Times New Roman"/>
                <w:sz w:val="24"/>
              </w:rPr>
            </w:pPr>
            <w:r>
              <w:rPr>
                <w:sz w:val="24"/>
              </w:rPr>
              <w:t>（</w:t>
            </w:r>
            <w:r>
              <w:rPr>
                <w:sz w:val="24"/>
              </w:rPr>
              <w:t>8</w:t>
            </w:r>
            <w:r>
              <w:rPr>
                <w:sz w:val="24"/>
              </w:rPr>
              <w:t>）投标文件中未出现有关投标报价的内容。</w:t>
            </w:r>
          </w:p>
          <w:p w:rsidR="00F7563E" w:rsidRDefault="009361B9">
            <w:pPr>
              <w:widowControl/>
              <w:spacing w:line="360" w:lineRule="atLeast"/>
              <w:ind w:firstLineChars="200" w:firstLine="480"/>
              <w:rPr>
                <w:rFonts w:eastAsia="Times New Roman"/>
                <w:sz w:val="24"/>
              </w:rPr>
            </w:pPr>
            <w:r>
              <w:rPr>
                <w:sz w:val="24"/>
              </w:rPr>
              <w:t>（</w:t>
            </w:r>
            <w:r>
              <w:rPr>
                <w:sz w:val="24"/>
              </w:rPr>
              <w:t>9</w:t>
            </w:r>
            <w:r>
              <w:rPr>
                <w:sz w:val="24"/>
              </w:rPr>
              <w:t>）投标文件载明的招标项目完成期限符合招标文件规定。</w:t>
            </w:r>
          </w:p>
          <w:p w:rsidR="00F7563E" w:rsidRDefault="009361B9">
            <w:pPr>
              <w:widowControl/>
              <w:spacing w:line="360" w:lineRule="atLeast"/>
              <w:ind w:firstLineChars="200" w:firstLine="480"/>
              <w:rPr>
                <w:rFonts w:eastAsia="Times New Roman"/>
                <w:sz w:val="24"/>
              </w:rPr>
            </w:pPr>
            <w:r>
              <w:rPr>
                <w:sz w:val="24"/>
              </w:rPr>
              <w:t>（</w:t>
            </w:r>
            <w:r>
              <w:rPr>
                <w:sz w:val="24"/>
              </w:rPr>
              <w:t>10</w:t>
            </w:r>
            <w:r>
              <w:rPr>
                <w:sz w:val="24"/>
              </w:rPr>
              <w:t>）投标文件对招标文件的实质性要求和条件作出响应。</w:t>
            </w:r>
          </w:p>
          <w:p w:rsidR="00F7563E" w:rsidRDefault="009361B9">
            <w:pPr>
              <w:widowControl/>
              <w:spacing w:line="360" w:lineRule="atLeast"/>
              <w:ind w:firstLineChars="200" w:firstLine="480"/>
              <w:rPr>
                <w:rFonts w:eastAsia="Times New Roman"/>
                <w:sz w:val="24"/>
              </w:rPr>
            </w:pPr>
            <w:r>
              <w:rPr>
                <w:sz w:val="24"/>
              </w:rPr>
              <w:t>（</w:t>
            </w:r>
            <w:r>
              <w:rPr>
                <w:sz w:val="24"/>
              </w:rPr>
              <w:t>11</w:t>
            </w:r>
            <w:r>
              <w:rPr>
                <w:sz w:val="24"/>
              </w:rPr>
              <w:t>）权利义务符合招标文件规定：</w:t>
            </w:r>
          </w:p>
          <w:p w:rsidR="00F7563E" w:rsidRDefault="009361B9">
            <w:pPr>
              <w:widowControl/>
              <w:spacing w:line="360" w:lineRule="atLeast"/>
              <w:ind w:firstLineChars="200" w:firstLine="480"/>
              <w:rPr>
                <w:rFonts w:eastAsia="Times New Roman"/>
                <w:sz w:val="24"/>
              </w:rPr>
            </w:pPr>
            <w:r>
              <w:rPr>
                <w:rFonts w:eastAsia="Times New Roman"/>
                <w:sz w:val="24"/>
              </w:rPr>
              <w:t>a.</w:t>
            </w:r>
            <w:r>
              <w:rPr>
                <w:sz w:val="24"/>
              </w:rPr>
              <w:t>投标人应接受招标文件规定的风险划分原则，未提出新的风险划分办法；</w:t>
            </w:r>
          </w:p>
          <w:p w:rsidR="00F7563E" w:rsidRDefault="009361B9">
            <w:pPr>
              <w:widowControl/>
              <w:spacing w:line="360" w:lineRule="atLeast"/>
              <w:ind w:firstLineChars="200" w:firstLine="480"/>
              <w:rPr>
                <w:rFonts w:eastAsia="Times New Roman"/>
                <w:sz w:val="24"/>
              </w:rPr>
            </w:pPr>
            <w:r>
              <w:rPr>
                <w:rFonts w:eastAsia="Times New Roman"/>
                <w:sz w:val="24"/>
              </w:rPr>
              <w:t>b.</w:t>
            </w:r>
            <w:r>
              <w:rPr>
                <w:sz w:val="24"/>
              </w:rPr>
              <w:t>投标人未增加委托人的责任范围，或减少投标人义务；</w:t>
            </w:r>
          </w:p>
          <w:p w:rsidR="00F7563E" w:rsidRDefault="009361B9">
            <w:pPr>
              <w:widowControl/>
              <w:spacing w:line="360" w:lineRule="atLeast"/>
              <w:ind w:firstLineChars="200" w:firstLine="480"/>
              <w:rPr>
                <w:rFonts w:eastAsia="Times New Roman"/>
                <w:sz w:val="24"/>
              </w:rPr>
            </w:pPr>
            <w:r>
              <w:rPr>
                <w:rFonts w:eastAsia="Times New Roman"/>
                <w:sz w:val="24"/>
              </w:rPr>
              <w:t>c.</w:t>
            </w:r>
            <w:r>
              <w:rPr>
                <w:sz w:val="24"/>
              </w:rPr>
              <w:t>投标人未提出不同的支付办法；</w:t>
            </w:r>
          </w:p>
          <w:p w:rsidR="00F7563E" w:rsidRDefault="009361B9">
            <w:pPr>
              <w:widowControl/>
              <w:spacing w:line="360" w:lineRule="atLeast"/>
              <w:ind w:firstLineChars="200" w:firstLine="480"/>
              <w:rPr>
                <w:rFonts w:eastAsia="Times New Roman"/>
                <w:sz w:val="24"/>
              </w:rPr>
            </w:pPr>
            <w:r>
              <w:rPr>
                <w:rFonts w:eastAsia="Times New Roman"/>
                <w:sz w:val="24"/>
              </w:rPr>
              <w:t>d.</w:t>
            </w:r>
            <w:r>
              <w:rPr>
                <w:sz w:val="24"/>
              </w:rPr>
              <w:t>投标人对合同纠纷、事故处理办法未提出异议；</w:t>
            </w:r>
          </w:p>
          <w:p w:rsidR="00F7563E" w:rsidRDefault="009361B9">
            <w:pPr>
              <w:widowControl/>
              <w:spacing w:line="360" w:lineRule="atLeast"/>
              <w:ind w:firstLineChars="200" w:firstLine="480"/>
              <w:rPr>
                <w:rFonts w:eastAsia="Times New Roman"/>
                <w:sz w:val="24"/>
              </w:rPr>
            </w:pPr>
            <w:r>
              <w:rPr>
                <w:rFonts w:eastAsia="Times New Roman"/>
                <w:sz w:val="24"/>
              </w:rPr>
              <w:t>e.</w:t>
            </w:r>
            <w:r>
              <w:rPr>
                <w:sz w:val="24"/>
              </w:rPr>
              <w:t>投标人在投标活动中无欺诈行为；</w:t>
            </w:r>
          </w:p>
          <w:p w:rsidR="00F7563E" w:rsidRDefault="009361B9">
            <w:pPr>
              <w:widowControl/>
              <w:spacing w:line="360" w:lineRule="atLeast"/>
              <w:ind w:firstLineChars="200" w:firstLine="480"/>
              <w:rPr>
                <w:rFonts w:eastAsia="Times New Roman"/>
                <w:sz w:val="24"/>
              </w:rPr>
            </w:pPr>
            <w:r>
              <w:rPr>
                <w:rFonts w:eastAsia="Times New Roman"/>
                <w:sz w:val="24"/>
              </w:rPr>
              <w:t>f.</w:t>
            </w:r>
            <w:r>
              <w:rPr>
                <w:sz w:val="24"/>
              </w:rPr>
              <w:t>投标人未对合同条款有重要保留。</w:t>
            </w:r>
          </w:p>
          <w:p w:rsidR="00F7563E" w:rsidRDefault="009361B9">
            <w:pPr>
              <w:widowControl/>
              <w:spacing w:line="360" w:lineRule="atLeast"/>
              <w:ind w:firstLineChars="200" w:firstLine="480"/>
              <w:rPr>
                <w:rFonts w:eastAsia="Times New Roman"/>
                <w:sz w:val="24"/>
              </w:rPr>
            </w:pPr>
            <w:r>
              <w:rPr>
                <w:sz w:val="24"/>
              </w:rPr>
              <w:t>（</w:t>
            </w:r>
            <w:r>
              <w:rPr>
                <w:sz w:val="24"/>
              </w:rPr>
              <w:t>12</w:t>
            </w:r>
            <w:r>
              <w:rPr>
                <w:sz w:val="24"/>
              </w:rPr>
              <w:t>）投标文件正、副本份数符合招标文件第二章</w:t>
            </w:r>
            <w:r>
              <w:rPr>
                <w:sz w:val="24"/>
              </w:rPr>
              <w:t>“</w:t>
            </w:r>
            <w:r>
              <w:rPr>
                <w:sz w:val="24"/>
              </w:rPr>
              <w:t>投标人须知</w:t>
            </w:r>
            <w:r>
              <w:rPr>
                <w:sz w:val="24"/>
              </w:rPr>
              <w:t>”</w:t>
            </w:r>
            <w:r>
              <w:rPr>
                <w:sz w:val="24"/>
              </w:rPr>
              <w:t>第</w:t>
            </w:r>
            <w:r>
              <w:rPr>
                <w:sz w:val="24"/>
              </w:rPr>
              <w:t>3.7.4</w:t>
            </w:r>
            <w:r>
              <w:rPr>
                <w:sz w:val="24"/>
              </w:rPr>
              <w:t>项规定。</w:t>
            </w:r>
          </w:p>
          <w:p w:rsidR="00F7563E" w:rsidRDefault="00F7563E" w:rsidP="00480449">
            <w:pPr>
              <w:widowControl/>
              <w:spacing w:line="360" w:lineRule="atLeast"/>
              <w:ind w:firstLineChars="200" w:firstLine="482"/>
              <w:rPr>
                <w:rFonts w:eastAsia="Times New Roman"/>
                <w:b/>
                <w:sz w:val="24"/>
              </w:rPr>
            </w:pPr>
          </w:p>
          <w:p w:rsidR="00F7563E" w:rsidRDefault="009361B9">
            <w:pPr>
              <w:widowControl/>
              <w:spacing w:line="360" w:lineRule="atLeast"/>
              <w:ind w:firstLineChars="200" w:firstLine="482"/>
              <w:rPr>
                <w:rFonts w:eastAsia="Times New Roman"/>
                <w:sz w:val="24"/>
              </w:rPr>
            </w:pPr>
            <w:r>
              <w:rPr>
                <w:b/>
                <w:sz w:val="24"/>
              </w:rPr>
              <w:t>第二个信封（报价文件）评审标准：</w:t>
            </w:r>
          </w:p>
          <w:p w:rsidR="00F7563E" w:rsidRDefault="009361B9">
            <w:pPr>
              <w:widowControl/>
              <w:spacing w:line="360" w:lineRule="atLeast"/>
              <w:ind w:firstLineChars="200" w:firstLine="480"/>
              <w:rPr>
                <w:rFonts w:eastAsia="Times New Roman"/>
                <w:sz w:val="24"/>
              </w:rPr>
            </w:pPr>
            <w:r>
              <w:rPr>
                <w:sz w:val="24"/>
              </w:rPr>
              <w:t>（</w:t>
            </w:r>
            <w:r>
              <w:rPr>
                <w:sz w:val="24"/>
              </w:rPr>
              <w:t>1</w:t>
            </w:r>
            <w:r>
              <w:rPr>
                <w:sz w:val="24"/>
              </w:rPr>
              <w:t>）投标文件按照招标文件规定的格式、内容填写，字迹清晰可辨，内容齐全完整：</w:t>
            </w:r>
          </w:p>
          <w:p w:rsidR="00F7563E" w:rsidRDefault="009361B9">
            <w:pPr>
              <w:widowControl/>
              <w:spacing w:line="360" w:lineRule="atLeast"/>
              <w:ind w:firstLineChars="200" w:firstLine="480"/>
              <w:rPr>
                <w:rFonts w:eastAsia="Times New Roman"/>
                <w:sz w:val="24"/>
              </w:rPr>
            </w:pPr>
            <w:r>
              <w:rPr>
                <w:rFonts w:eastAsia="Times New Roman"/>
                <w:sz w:val="24"/>
              </w:rPr>
              <w:t>a.</w:t>
            </w:r>
            <w:r>
              <w:rPr>
                <w:sz w:val="24"/>
              </w:rPr>
              <w:t>投标函按招标文件规定填报了项目名称、标段号、补遗书编号（如有）、投标价（包括大写金额和小写金额）；</w:t>
            </w:r>
          </w:p>
          <w:p w:rsidR="00F7563E" w:rsidRDefault="009361B9">
            <w:pPr>
              <w:widowControl/>
              <w:spacing w:line="360" w:lineRule="atLeast"/>
              <w:ind w:firstLineChars="200" w:firstLine="480"/>
              <w:rPr>
                <w:rFonts w:eastAsia="Times New Roman"/>
                <w:sz w:val="24"/>
              </w:rPr>
            </w:pPr>
            <w:r>
              <w:rPr>
                <w:rFonts w:eastAsia="Times New Roman"/>
                <w:sz w:val="24"/>
              </w:rPr>
              <w:t>b.</w:t>
            </w:r>
            <w:r>
              <w:rPr>
                <w:sz w:val="24"/>
              </w:rPr>
              <w:t>已标价报价清单说明文字与招标文件规定一致，未进行实质性修改和删减；</w:t>
            </w:r>
          </w:p>
          <w:p w:rsidR="00F7563E" w:rsidRDefault="009361B9">
            <w:pPr>
              <w:widowControl/>
              <w:spacing w:line="360" w:lineRule="atLeast"/>
              <w:ind w:firstLineChars="200" w:firstLine="480"/>
              <w:rPr>
                <w:rFonts w:eastAsia="Times New Roman"/>
                <w:sz w:val="24"/>
              </w:rPr>
            </w:pPr>
            <w:r>
              <w:rPr>
                <w:rFonts w:eastAsia="Times New Roman"/>
                <w:sz w:val="24"/>
              </w:rPr>
              <w:t>c.</w:t>
            </w:r>
            <w:r>
              <w:rPr>
                <w:sz w:val="24"/>
              </w:rPr>
              <w:t>投标文件组成齐全完整，内容均按规定填写。</w:t>
            </w:r>
          </w:p>
          <w:p w:rsidR="00F7563E" w:rsidRDefault="009361B9">
            <w:pPr>
              <w:widowControl/>
              <w:spacing w:line="360" w:lineRule="atLeast"/>
              <w:ind w:firstLineChars="200" w:firstLine="480"/>
              <w:rPr>
                <w:rFonts w:eastAsia="Times New Roman"/>
                <w:sz w:val="24"/>
              </w:rPr>
            </w:pPr>
            <w:r>
              <w:rPr>
                <w:sz w:val="24"/>
              </w:rPr>
              <w:t>（</w:t>
            </w:r>
            <w:r>
              <w:rPr>
                <w:sz w:val="24"/>
              </w:rPr>
              <w:t>2</w:t>
            </w:r>
            <w:r>
              <w:rPr>
                <w:sz w:val="24"/>
              </w:rPr>
              <w:t>）投标文件上法定代表人或其委托代理人的签字、投标人的单位章盖章齐全，符合招标文件规定。</w:t>
            </w:r>
          </w:p>
          <w:p w:rsidR="00F7563E" w:rsidRDefault="009361B9">
            <w:pPr>
              <w:widowControl/>
              <w:spacing w:line="360" w:lineRule="atLeast"/>
              <w:ind w:firstLineChars="200" w:firstLine="480"/>
              <w:rPr>
                <w:rFonts w:eastAsia="Times New Roman"/>
                <w:sz w:val="24"/>
              </w:rPr>
            </w:pPr>
            <w:r>
              <w:rPr>
                <w:sz w:val="24"/>
              </w:rPr>
              <w:t>（</w:t>
            </w:r>
            <w:r>
              <w:rPr>
                <w:sz w:val="24"/>
              </w:rPr>
              <w:t>3</w:t>
            </w:r>
            <w:r>
              <w:rPr>
                <w:sz w:val="24"/>
              </w:rPr>
              <w:t>）投标报价未超过招标文件设定的最高投标限价。</w:t>
            </w:r>
          </w:p>
          <w:p w:rsidR="00F7563E" w:rsidRDefault="009361B9">
            <w:pPr>
              <w:widowControl/>
              <w:spacing w:line="360" w:lineRule="atLeast"/>
              <w:ind w:firstLineChars="200" w:firstLine="480"/>
              <w:rPr>
                <w:rFonts w:eastAsia="Times New Roman"/>
                <w:sz w:val="24"/>
              </w:rPr>
            </w:pPr>
            <w:r>
              <w:rPr>
                <w:sz w:val="24"/>
              </w:rPr>
              <w:t>（</w:t>
            </w:r>
            <w:r>
              <w:rPr>
                <w:sz w:val="24"/>
              </w:rPr>
              <w:t>4</w:t>
            </w:r>
            <w:r>
              <w:rPr>
                <w:sz w:val="24"/>
              </w:rPr>
              <w:t>）投标报价的大写金额能够确定具体数值。</w:t>
            </w:r>
          </w:p>
          <w:p w:rsidR="00F7563E" w:rsidRDefault="009361B9">
            <w:pPr>
              <w:widowControl/>
              <w:spacing w:line="360" w:lineRule="atLeast"/>
              <w:ind w:firstLineChars="200" w:firstLine="480"/>
              <w:rPr>
                <w:rFonts w:eastAsia="Times New Roman"/>
                <w:sz w:val="24"/>
              </w:rPr>
            </w:pPr>
            <w:r>
              <w:rPr>
                <w:sz w:val="24"/>
              </w:rPr>
              <w:t>（</w:t>
            </w:r>
            <w:r>
              <w:rPr>
                <w:sz w:val="24"/>
              </w:rPr>
              <w:t>5</w:t>
            </w:r>
            <w:r>
              <w:rPr>
                <w:sz w:val="24"/>
              </w:rPr>
              <w:t>）同一投标人未提交两个以上不同的投标报价，但招标文件要求提交备选投标的除外。</w:t>
            </w:r>
          </w:p>
          <w:p w:rsidR="00F7563E" w:rsidRDefault="009361B9">
            <w:pPr>
              <w:widowControl/>
              <w:spacing w:line="360" w:lineRule="atLeast"/>
              <w:ind w:firstLineChars="200" w:firstLine="480"/>
              <w:rPr>
                <w:rFonts w:eastAsia="Times New Roman"/>
                <w:sz w:val="24"/>
              </w:rPr>
            </w:pPr>
            <w:r>
              <w:rPr>
                <w:sz w:val="24"/>
              </w:rPr>
              <w:t>（</w:t>
            </w:r>
            <w:r>
              <w:rPr>
                <w:sz w:val="24"/>
              </w:rPr>
              <w:t>6</w:t>
            </w:r>
            <w:r>
              <w:rPr>
                <w:sz w:val="24"/>
              </w:rPr>
              <w:t>）投标文件正、副本份数符合招标文件第二章</w:t>
            </w:r>
            <w:r>
              <w:rPr>
                <w:sz w:val="24"/>
              </w:rPr>
              <w:t>“</w:t>
            </w:r>
            <w:r>
              <w:rPr>
                <w:sz w:val="24"/>
              </w:rPr>
              <w:t>投标人须知</w:t>
            </w:r>
            <w:r>
              <w:rPr>
                <w:sz w:val="24"/>
              </w:rPr>
              <w:t>”</w:t>
            </w:r>
            <w:r>
              <w:rPr>
                <w:sz w:val="24"/>
              </w:rPr>
              <w:t>第</w:t>
            </w:r>
            <w:r>
              <w:rPr>
                <w:sz w:val="24"/>
              </w:rPr>
              <w:t>3.7.4</w:t>
            </w:r>
            <w:r>
              <w:rPr>
                <w:sz w:val="24"/>
              </w:rPr>
              <w:t>项规定。</w:t>
            </w:r>
          </w:p>
          <w:p w:rsidR="00F7563E" w:rsidRDefault="009361B9">
            <w:pPr>
              <w:widowControl/>
              <w:spacing w:line="360" w:lineRule="atLeast"/>
              <w:ind w:firstLineChars="200" w:firstLine="480"/>
              <w:rPr>
                <w:rFonts w:eastAsia="Times New Roman"/>
                <w:sz w:val="24"/>
              </w:rPr>
            </w:pPr>
            <w:r>
              <w:rPr>
                <w:sz w:val="24"/>
              </w:rPr>
              <w:t>（</w:t>
            </w:r>
            <w:r>
              <w:rPr>
                <w:sz w:val="24"/>
              </w:rPr>
              <w:t>7</w:t>
            </w:r>
            <w:r>
              <w:rPr>
                <w:sz w:val="24"/>
              </w:rPr>
              <w:t>）缺陷责任期的费用合计不少于监理服务费用总计的</w:t>
            </w:r>
            <w:r>
              <w:rPr>
                <w:sz w:val="24"/>
              </w:rPr>
              <w:t>5%</w:t>
            </w:r>
            <w:r>
              <w:rPr>
                <w:sz w:val="24"/>
              </w:rPr>
              <w:t>。</w:t>
            </w:r>
          </w:p>
        </w:tc>
      </w:tr>
      <w:tr w:rsidR="00F7563E">
        <w:tc>
          <w:tcPr>
            <w:tcW w:w="94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50" w:lineRule="atLeast"/>
              <w:jc w:val="center"/>
              <w:rPr>
                <w:rFonts w:eastAsia="Times New Roman"/>
                <w:sz w:val="24"/>
              </w:rPr>
            </w:pPr>
            <w:r>
              <w:rPr>
                <w:rFonts w:eastAsia="Times New Roman"/>
                <w:sz w:val="24"/>
              </w:rPr>
              <w:lastRenderedPageBreak/>
              <w:t>2.1.2</w:t>
            </w:r>
          </w:p>
        </w:tc>
        <w:tc>
          <w:tcPr>
            <w:tcW w:w="1311" w:type="dxa"/>
            <w:gridSpan w:val="2"/>
            <w:tcBorders>
              <w:top w:val="single" w:sz="4" w:space="0" w:color="auto"/>
              <w:left w:val="nil"/>
              <w:bottom w:val="single" w:sz="4" w:space="0" w:color="auto"/>
              <w:right w:val="single" w:sz="4" w:space="0" w:color="auto"/>
            </w:tcBorders>
            <w:vAlign w:val="center"/>
          </w:tcPr>
          <w:p w:rsidR="00F7563E" w:rsidRDefault="009361B9">
            <w:pPr>
              <w:widowControl/>
              <w:spacing w:line="350" w:lineRule="atLeast"/>
              <w:jc w:val="center"/>
              <w:rPr>
                <w:rFonts w:eastAsia="Times New Roman"/>
                <w:sz w:val="24"/>
              </w:rPr>
            </w:pPr>
            <w:r>
              <w:rPr>
                <w:sz w:val="24"/>
              </w:rPr>
              <w:t>资格评审标准</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50" w:lineRule="atLeast"/>
              <w:ind w:firstLineChars="200" w:firstLine="480"/>
              <w:rPr>
                <w:rFonts w:eastAsia="Times New Roman"/>
                <w:sz w:val="24"/>
              </w:rPr>
            </w:pPr>
            <w:r>
              <w:rPr>
                <w:sz w:val="24"/>
              </w:rPr>
              <w:t>（</w:t>
            </w:r>
            <w:r>
              <w:rPr>
                <w:sz w:val="24"/>
              </w:rPr>
              <w:t>1</w:t>
            </w:r>
            <w:r>
              <w:rPr>
                <w:sz w:val="24"/>
              </w:rPr>
              <w:t>）投标人具备有效的营业执照、组织机构代码证、监理资质证书和基本账户开户许可证。</w:t>
            </w:r>
          </w:p>
          <w:p w:rsidR="00F7563E" w:rsidRDefault="009361B9">
            <w:pPr>
              <w:widowControl/>
              <w:spacing w:line="350" w:lineRule="atLeast"/>
              <w:ind w:firstLineChars="200" w:firstLine="480"/>
              <w:rPr>
                <w:rFonts w:eastAsia="Times New Roman"/>
                <w:sz w:val="24"/>
              </w:rPr>
            </w:pPr>
            <w:r>
              <w:rPr>
                <w:sz w:val="24"/>
              </w:rPr>
              <w:lastRenderedPageBreak/>
              <w:t>（</w:t>
            </w:r>
            <w:r>
              <w:rPr>
                <w:sz w:val="24"/>
              </w:rPr>
              <w:t>2</w:t>
            </w:r>
            <w:r>
              <w:rPr>
                <w:sz w:val="24"/>
              </w:rPr>
              <w:t>）投标人的资质等级符合招标文件规定。</w:t>
            </w:r>
          </w:p>
          <w:p w:rsidR="00F7563E" w:rsidRDefault="009361B9">
            <w:pPr>
              <w:widowControl/>
              <w:spacing w:line="350" w:lineRule="atLeast"/>
              <w:ind w:firstLineChars="200" w:firstLine="480"/>
              <w:rPr>
                <w:rFonts w:eastAsia="Times New Roman"/>
                <w:sz w:val="24"/>
              </w:rPr>
            </w:pPr>
            <w:r>
              <w:rPr>
                <w:sz w:val="24"/>
              </w:rPr>
              <w:t>（</w:t>
            </w:r>
            <w:r>
              <w:rPr>
                <w:sz w:val="24"/>
              </w:rPr>
              <w:t>3</w:t>
            </w:r>
            <w:r>
              <w:rPr>
                <w:sz w:val="24"/>
              </w:rPr>
              <w:t>）投标人的类似项目业绩符合招标文件规定。</w:t>
            </w:r>
          </w:p>
          <w:p w:rsidR="00F7563E" w:rsidRDefault="009361B9">
            <w:pPr>
              <w:widowControl/>
              <w:spacing w:line="350" w:lineRule="atLeast"/>
              <w:ind w:firstLineChars="200" w:firstLine="480"/>
              <w:rPr>
                <w:rFonts w:eastAsia="Times New Roman"/>
                <w:sz w:val="24"/>
              </w:rPr>
            </w:pPr>
            <w:r>
              <w:rPr>
                <w:sz w:val="24"/>
              </w:rPr>
              <w:t>（</w:t>
            </w:r>
            <w:r>
              <w:rPr>
                <w:sz w:val="24"/>
              </w:rPr>
              <w:t>4</w:t>
            </w:r>
            <w:r>
              <w:rPr>
                <w:sz w:val="24"/>
              </w:rPr>
              <w:t>）投标人的信誉符合招标文件规定。</w:t>
            </w:r>
          </w:p>
          <w:p w:rsidR="00F7563E" w:rsidRDefault="009361B9">
            <w:pPr>
              <w:widowControl/>
              <w:spacing w:line="350" w:lineRule="atLeast"/>
              <w:ind w:firstLineChars="200" w:firstLine="480"/>
              <w:rPr>
                <w:rFonts w:eastAsia="Times New Roman"/>
                <w:sz w:val="24"/>
              </w:rPr>
            </w:pPr>
            <w:r>
              <w:rPr>
                <w:sz w:val="24"/>
              </w:rPr>
              <w:t>（</w:t>
            </w:r>
            <w:r>
              <w:rPr>
                <w:sz w:val="24"/>
              </w:rPr>
              <w:t>5</w:t>
            </w:r>
            <w:r>
              <w:rPr>
                <w:sz w:val="24"/>
              </w:rPr>
              <w:t>）投标人的总监理工程师资格、在岗情况符合招标文件规定。</w:t>
            </w:r>
          </w:p>
          <w:p w:rsidR="00F7563E" w:rsidRDefault="009361B9">
            <w:pPr>
              <w:widowControl/>
              <w:spacing w:line="350" w:lineRule="atLeast"/>
              <w:ind w:firstLineChars="200" w:firstLine="480"/>
              <w:rPr>
                <w:rFonts w:eastAsia="Times New Roman"/>
                <w:sz w:val="24"/>
              </w:rPr>
            </w:pPr>
            <w:r>
              <w:rPr>
                <w:sz w:val="24"/>
              </w:rPr>
              <w:t>（</w:t>
            </w:r>
            <w:r>
              <w:rPr>
                <w:sz w:val="24"/>
              </w:rPr>
              <w:t>6</w:t>
            </w:r>
            <w:r>
              <w:rPr>
                <w:sz w:val="24"/>
              </w:rPr>
              <w:t>）投标人的其他要求符合招标文件规定。</w:t>
            </w:r>
          </w:p>
          <w:p w:rsidR="00F7563E" w:rsidRDefault="009361B9">
            <w:pPr>
              <w:widowControl/>
              <w:spacing w:line="350" w:lineRule="atLeast"/>
              <w:ind w:firstLineChars="200" w:firstLine="480"/>
              <w:rPr>
                <w:rFonts w:eastAsia="Times New Roman"/>
                <w:sz w:val="24"/>
              </w:rPr>
            </w:pPr>
            <w:r>
              <w:rPr>
                <w:sz w:val="24"/>
              </w:rPr>
              <w:t>（</w:t>
            </w:r>
            <w:r>
              <w:rPr>
                <w:sz w:val="24"/>
              </w:rPr>
              <w:t>7</w:t>
            </w:r>
            <w:r>
              <w:rPr>
                <w:sz w:val="24"/>
              </w:rPr>
              <w:t>）投标人不存在第二章</w:t>
            </w:r>
            <w:r>
              <w:rPr>
                <w:sz w:val="24"/>
              </w:rPr>
              <w:t>“</w:t>
            </w:r>
            <w:r>
              <w:rPr>
                <w:sz w:val="24"/>
              </w:rPr>
              <w:t>投标人须知</w:t>
            </w:r>
            <w:r>
              <w:rPr>
                <w:sz w:val="24"/>
              </w:rPr>
              <w:t>”</w:t>
            </w:r>
            <w:r>
              <w:rPr>
                <w:sz w:val="24"/>
              </w:rPr>
              <w:t>第</w:t>
            </w:r>
            <w:r>
              <w:rPr>
                <w:sz w:val="24"/>
              </w:rPr>
              <w:t>1.4.3</w:t>
            </w:r>
            <w:r>
              <w:rPr>
                <w:sz w:val="24"/>
              </w:rPr>
              <w:t>项或第</w:t>
            </w:r>
            <w:r>
              <w:rPr>
                <w:sz w:val="24"/>
              </w:rPr>
              <w:t>1.4.4</w:t>
            </w:r>
            <w:r>
              <w:rPr>
                <w:sz w:val="24"/>
              </w:rPr>
              <w:t>项规定的任何一种情形。</w:t>
            </w:r>
          </w:p>
          <w:p w:rsidR="00F7563E" w:rsidRDefault="009361B9">
            <w:pPr>
              <w:widowControl/>
              <w:spacing w:line="350" w:lineRule="atLeast"/>
              <w:ind w:firstLineChars="200" w:firstLine="480"/>
              <w:rPr>
                <w:rFonts w:eastAsia="Times New Roman"/>
                <w:sz w:val="24"/>
              </w:rPr>
            </w:pPr>
            <w:r>
              <w:rPr>
                <w:sz w:val="24"/>
              </w:rPr>
              <w:t>（</w:t>
            </w:r>
            <w:r>
              <w:rPr>
                <w:sz w:val="24"/>
              </w:rPr>
              <w:t>8</w:t>
            </w:r>
            <w:r>
              <w:rPr>
                <w:sz w:val="24"/>
              </w:rPr>
              <w:t>）投标人符合第二章</w:t>
            </w:r>
            <w:r>
              <w:rPr>
                <w:sz w:val="24"/>
              </w:rPr>
              <w:t>“</w:t>
            </w:r>
            <w:r>
              <w:rPr>
                <w:sz w:val="24"/>
              </w:rPr>
              <w:t>投标人须知</w:t>
            </w:r>
            <w:r>
              <w:rPr>
                <w:sz w:val="24"/>
              </w:rPr>
              <w:t>”</w:t>
            </w:r>
            <w:r>
              <w:rPr>
                <w:sz w:val="24"/>
              </w:rPr>
              <w:t>第</w:t>
            </w:r>
            <w:r>
              <w:rPr>
                <w:sz w:val="24"/>
              </w:rPr>
              <w:t>1.4.5</w:t>
            </w:r>
            <w:r>
              <w:rPr>
                <w:sz w:val="24"/>
              </w:rPr>
              <w:t>项规定。</w:t>
            </w:r>
          </w:p>
        </w:tc>
      </w:tr>
      <w:tr w:rsidR="00F7563E">
        <w:tc>
          <w:tcPr>
            <w:tcW w:w="94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rPr>
              <w:lastRenderedPageBreak/>
              <w:t>2.2.1</w:t>
            </w:r>
          </w:p>
        </w:tc>
        <w:tc>
          <w:tcPr>
            <w:tcW w:w="1311" w:type="dxa"/>
            <w:gridSpan w:val="2"/>
            <w:tcBorders>
              <w:top w:val="single" w:sz="4" w:space="0" w:color="auto"/>
              <w:left w:val="nil"/>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分值构成</w:t>
            </w:r>
          </w:p>
          <w:p w:rsidR="00F7563E" w:rsidRDefault="009361B9">
            <w:pPr>
              <w:widowControl/>
              <w:spacing w:line="380" w:lineRule="atLeast"/>
              <w:ind w:leftChars="-50" w:left="-170" w:rightChars="-50" w:right="-170"/>
              <w:jc w:val="center"/>
              <w:rPr>
                <w:rFonts w:eastAsia="Times New Roman"/>
                <w:sz w:val="24"/>
              </w:rPr>
            </w:pPr>
            <w:r>
              <w:rPr>
                <w:sz w:val="24"/>
              </w:rPr>
              <w:t>（总分</w:t>
            </w:r>
            <w:r>
              <w:rPr>
                <w:sz w:val="24"/>
              </w:rPr>
              <w:t>100</w:t>
            </w:r>
            <w:r>
              <w:rPr>
                <w:sz w:val="24"/>
              </w:rPr>
              <w:t>分）</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40" w:lineRule="atLeast"/>
              <w:ind w:firstLineChars="200" w:firstLine="482"/>
              <w:rPr>
                <w:rFonts w:eastAsia="Times New Roman"/>
                <w:b/>
                <w:sz w:val="24"/>
              </w:rPr>
            </w:pPr>
            <w:r>
              <w:rPr>
                <w:b/>
                <w:sz w:val="24"/>
              </w:rPr>
              <w:t>第一个信封（商务及技术文件）评分分值构成：</w:t>
            </w:r>
          </w:p>
          <w:p w:rsidR="00F7563E" w:rsidRDefault="009361B9">
            <w:pPr>
              <w:widowControl/>
              <w:spacing w:line="340" w:lineRule="atLeast"/>
              <w:ind w:firstLineChars="200" w:firstLine="480"/>
              <w:rPr>
                <w:rFonts w:eastAsia="Times New Roman"/>
                <w:sz w:val="24"/>
              </w:rPr>
            </w:pPr>
            <w:r>
              <w:rPr>
                <w:sz w:val="24"/>
              </w:rPr>
              <w:t>技术建议书：</w:t>
            </w:r>
            <w:r>
              <w:rPr>
                <w:rFonts w:eastAsia="Times New Roman"/>
                <w:sz w:val="24"/>
                <w:u w:val="single"/>
              </w:rPr>
              <w:t>35</w:t>
            </w:r>
            <w:r>
              <w:rPr>
                <w:sz w:val="24"/>
              </w:rPr>
              <w:t>分</w:t>
            </w:r>
          </w:p>
          <w:p w:rsidR="00F7563E" w:rsidRDefault="009361B9">
            <w:pPr>
              <w:widowControl/>
              <w:spacing w:line="340" w:lineRule="atLeast"/>
              <w:ind w:firstLineChars="200" w:firstLine="480"/>
              <w:rPr>
                <w:rFonts w:eastAsia="Times New Roman"/>
                <w:sz w:val="24"/>
              </w:rPr>
            </w:pPr>
            <w:r>
              <w:rPr>
                <w:sz w:val="24"/>
              </w:rPr>
              <w:t>主要人员：</w:t>
            </w:r>
            <w:r>
              <w:rPr>
                <w:rFonts w:eastAsia="Times New Roman"/>
                <w:sz w:val="24"/>
                <w:u w:val="single"/>
              </w:rPr>
              <w:t xml:space="preserve"> 25 </w:t>
            </w:r>
            <w:r>
              <w:rPr>
                <w:sz w:val="24"/>
              </w:rPr>
              <w:t>分</w:t>
            </w:r>
          </w:p>
          <w:p w:rsidR="00F7563E" w:rsidRDefault="009361B9">
            <w:pPr>
              <w:widowControl/>
              <w:spacing w:line="340" w:lineRule="atLeast"/>
              <w:ind w:firstLineChars="200" w:firstLine="480"/>
              <w:rPr>
                <w:rFonts w:eastAsia="Times New Roman"/>
                <w:sz w:val="24"/>
              </w:rPr>
            </w:pPr>
            <w:r>
              <w:rPr>
                <w:sz w:val="24"/>
              </w:rPr>
              <w:t>技术能力：</w:t>
            </w:r>
            <w:r>
              <w:rPr>
                <w:sz w:val="24"/>
                <w:u w:val="single"/>
              </w:rPr>
              <w:t>5</w:t>
            </w:r>
            <w:r>
              <w:rPr>
                <w:sz w:val="24"/>
              </w:rPr>
              <w:t>分</w:t>
            </w:r>
          </w:p>
          <w:p w:rsidR="00F7563E" w:rsidRDefault="009361B9">
            <w:pPr>
              <w:widowControl/>
              <w:spacing w:line="340" w:lineRule="atLeast"/>
              <w:ind w:firstLineChars="200" w:firstLine="480"/>
              <w:rPr>
                <w:rFonts w:eastAsia="Times New Roman"/>
                <w:sz w:val="24"/>
              </w:rPr>
            </w:pPr>
            <w:r>
              <w:rPr>
                <w:sz w:val="24"/>
              </w:rPr>
              <w:t>业绩：</w:t>
            </w:r>
            <w:r>
              <w:rPr>
                <w:rFonts w:eastAsia="Times New Roman"/>
                <w:sz w:val="24"/>
                <w:u w:val="single"/>
              </w:rPr>
              <w:t>20</w:t>
            </w:r>
            <w:r>
              <w:rPr>
                <w:sz w:val="24"/>
              </w:rPr>
              <w:t>分</w:t>
            </w:r>
          </w:p>
          <w:p w:rsidR="00F7563E" w:rsidRDefault="009361B9">
            <w:pPr>
              <w:widowControl/>
              <w:spacing w:line="340" w:lineRule="atLeast"/>
              <w:ind w:firstLineChars="200" w:firstLine="480"/>
              <w:rPr>
                <w:rFonts w:eastAsia="Times New Roman"/>
                <w:sz w:val="24"/>
              </w:rPr>
            </w:pPr>
            <w:r>
              <w:rPr>
                <w:sz w:val="24"/>
              </w:rPr>
              <w:t>履约信誉：</w:t>
            </w:r>
            <w:r>
              <w:rPr>
                <w:sz w:val="24"/>
                <w:u w:val="single"/>
              </w:rPr>
              <w:t>5</w:t>
            </w:r>
            <w:r>
              <w:rPr>
                <w:sz w:val="24"/>
              </w:rPr>
              <w:t>分</w:t>
            </w:r>
          </w:p>
          <w:p w:rsidR="00F7563E" w:rsidRDefault="009361B9">
            <w:pPr>
              <w:widowControl/>
              <w:spacing w:line="340" w:lineRule="atLeast"/>
              <w:ind w:firstLineChars="200" w:firstLine="482"/>
              <w:rPr>
                <w:rFonts w:eastAsia="Times New Roman"/>
                <w:b/>
                <w:sz w:val="24"/>
              </w:rPr>
            </w:pPr>
            <w:r>
              <w:rPr>
                <w:b/>
                <w:sz w:val="24"/>
              </w:rPr>
              <w:t>第二个信封（报价文件）评分分值构成：</w:t>
            </w:r>
          </w:p>
          <w:p w:rsidR="00F7563E" w:rsidRDefault="009361B9">
            <w:pPr>
              <w:widowControl/>
              <w:spacing w:line="340" w:lineRule="atLeast"/>
              <w:ind w:firstLineChars="200" w:firstLine="480"/>
              <w:rPr>
                <w:rFonts w:eastAsia="Times New Roman"/>
                <w:sz w:val="24"/>
              </w:rPr>
            </w:pPr>
            <w:r>
              <w:rPr>
                <w:sz w:val="24"/>
              </w:rPr>
              <w:t>评标价：</w:t>
            </w:r>
            <w:r>
              <w:rPr>
                <w:rFonts w:eastAsia="Times New Roman"/>
                <w:sz w:val="24"/>
                <w:u w:val="single"/>
              </w:rPr>
              <w:t xml:space="preserve"> 10</w:t>
            </w:r>
            <w:r>
              <w:rPr>
                <w:sz w:val="24"/>
              </w:rPr>
              <w:t>分</w:t>
            </w:r>
          </w:p>
        </w:tc>
      </w:tr>
      <w:tr w:rsidR="00F7563E">
        <w:tc>
          <w:tcPr>
            <w:tcW w:w="94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rPr>
              <w:t>2.2.2</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评标基准价计算方法</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F7563E" w:rsidRDefault="009361B9">
            <w:pPr>
              <w:widowControl/>
              <w:tabs>
                <w:tab w:val="center" w:pos="4153"/>
                <w:tab w:val="right" w:pos="8306"/>
              </w:tabs>
              <w:spacing w:line="400" w:lineRule="exact"/>
              <w:ind w:firstLineChars="200" w:firstLine="480"/>
              <w:rPr>
                <w:rFonts w:eastAsia="Times New Roman"/>
                <w:sz w:val="24"/>
              </w:rPr>
            </w:pPr>
            <w:r>
              <w:rPr>
                <w:sz w:val="24"/>
              </w:rPr>
              <w:t>评标基准价（</w:t>
            </w:r>
            <w:r>
              <w:rPr>
                <w:rFonts w:eastAsia="Times New Roman"/>
                <w:sz w:val="24"/>
              </w:rPr>
              <w:t>P</w:t>
            </w:r>
            <w:r>
              <w:rPr>
                <w:sz w:val="24"/>
              </w:rPr>
              <w:t>）：评标价去掉</w:t>
            </w:r>
            <w:r>
              <w:rPr>
                <w:sz w:val="24"/>
              </w:rPr>
              <w:t>n1</w:t>
            </w:r>
            <w:r>
              <w:rPr>
                <w:sz w:val="24"/>
              </w:rPr>
              <w:t>个最高评标价和</w:t>
            </w:r>
            <w:r>
              <w:rPr>
                <w:sz w:val="24"/>
              </w:rPr>
              <w:t>n2</w:t>
            </w:r>
            <w:r>
              <w:rPr>
                <w:sz w:val="24"/>
              </w:rPr>
              <w:t>个最低评标价后平均值直接作为评标基准价</w:t>
            </w:r>
            <w:r>
              <w:rPr>
                <w:sz w:val="24"/>
              </w:rPr>
              <w:t>P</w:t>
            </w:r>
            <w:r>
              <w:rPr>
                <w:sz w:val="24"/>
              </w:rPr>
              <w:t>。</w:t>
            </w:r>
            <w:r>
              <w:rPr>
                <w:sz w:val="24"/>
              </w:rPr>
              <w:t xml:space="preserve"> </w:t>
            </w:r>
          </w:p>
          <w:p w:rsidR="00F7563E" w:rsidRDefault="009361B9">
            <w:pPr>
              <w:widowControl/>
              <w:spacing w:before="76" w:after="76" w:line="400" w:lineRule="exact"/>
              <w:rPr>
                <w:rFonts w:eastAsia="Times New Roman"/>
                <w:sz w:val="24"/>
              </w:rPr>
            </w:pPr>
            <w:r>
              <w:rPr>
                <w:sz w:val="24"/>
              </w:rPr>
              <w:t>注：（</w:t>
            </w:r>
            <w:r>
              <w:rPr>
                <w:sz w:val="24"/>
              </w:rPr>
              <w:t>1</w:t>
            </w:r>
            <w:r>
              <w:rPr>
                <w:sz w:val="24"/>
              </w:rPr>
              <w:t>）</w:t>
            </w:r>
            <w:r>
              <w:rPr>
                <w:rFonts w:eastAsia="Times New Roman"/>
                <w:sz w:val="24"/>
              </w:rPr>
              <w:t>N</w:t>
            </w:r>
            <w:r>
              <w:rPr>
                <w:sz w:val="24"/>
              </w:rPr>
              <w:t>为有效评标价的个数；</w:t>
            </w:r>
            <w:r>
              <w:rPr>
                <w:sz w:val="24"/>
              </w:rPr>
              <w:t xml:space="preserve"> </w:t>
            </w:r>
          </w:p>
          <w:p w:rsidR="00F7563E" w:rsidRDefault="009361B9">
            <w:pPr>
              <w:widowControl/>
              <w:spacing w:before="76" w:after="76" w:line="400" w:lineRule="exact"/>
              <w:ind w:firstLineChars="200" w:firstLine="480"/>
              <w:rPr>
                <w:rFonts w:eastAsia="Times New Roman"/>
                <w:sz w:val="24"/>
              </w:rPr>
            </w:pPr>
            <w:r>
              <w:rPr>
                <w:sz w:val="24"/>
              </w:rPr>
              <w:t>（</w:t>
            </w:r>
            <w:r>
              <w:rPr>
                <w:sz w:val="24"/>
              </w:rPr>
              <w:t>2</w:t>
            </w:r>
            <w:r>
              <w:rPr>
                <w:sz w:val="24"/>
              </w:rPr>
              <w:t>）</w:t>
            </w:r>
            <w:r>
              <w:rPr>
                <w:rFonts w:eastAsia="Times New Roman"/>
                <w:sz w:val="24"/>
              </w:rPr>
              <w:t>n1</w:t>
            </w:r>
            <w:r>
              <w:rPr>
                <w:sz w:val="24"/>
              </w:rPr>
              <w:t>、</w:t>
            </w:r>
            <w:r>
              <w:rPr>
                <w:sz w:val="24"/>
              </w:rPr>
              <w:t>n2</w:t>
            </w:r>
            <w:r>
              <w:rPr>
                <w:sz w:val="24"/>
              </w:rPr>
              <w:t>的取值：</w:t>
            </w:r>
            <w:r>
              <w:rPr>
                <w:sz w:val="24"/>
              </w:rPr>
              <w:t xml:space="preserve"> </w:t>
            </w:r>
          </w:p>
          <w:p w:rsidR="00F7563E" w:rsidRDefault="009361B9">
            <w:pPr>
              <w:widowControl/>
              <w:spacing w:before="76" w:after="76" w:line="400" w:lineRule="exact"/>
              <w:ind w:firstLineChars="200" w:firstLine="480"/>
              <w:rPr>
                <w:rFonts w:eastAsia="Times New Roman"/>
                <w:sz w:val="24"/>
              </w:rPr>
            </w:pPr>
            <w:r>
              <w:rPr>
                <w:sz w:val="24"/>
              </w:rPr>
              <w:t>当</w:t>
            </w:r>
            <w:r>
              <w:rPr>
                <w:sz w:val="24"/>
              </w:rPr>
              <w:t>N&lt;6</w:t>
            </w:r>
            <w:r>
              <w:rPr>
                <w:sz w:val="24"/>
              </w:rPr>
              <w:t>时，</w:t>
            </w:r>
            <w:r>
              <w:rPr>
                <w:sz w:val="24"/>
              </w:rPr>
              <w:t>n1</w:t>
            </w:r>
            <w:r>
              <w:rPr>
                <w:sz w:val="24"/>
              </w:rPr>
              <w:t>、</w:t>
            </w:r>
            <w:r>
              <w:rPr>
                <w:sz w:val="24"/>
              </w:rPr>
              <w:t>n2</w:t>
            </w:r>
            <w:r>
              <w:rPr>
                <w:sz w:val="24"/>
              </w:rPr>
              <w:t>均取</w:t>
            </w:r>
            <w:r>
              <w:rPr>
                <w:sz w:val="24"/>
              </w:rPr>
              <w:t>0</w:t>
            </w:r>
            <w:r>
              <w:rPr>
                <w:sz w:val="24"/>
              </w:rPr>
              <w:t>；</w:t>
            </w:r>
            <w:r>
              <w:rPr>
                <w:sz w:val="24"/>
              </w:rPr>
              <w:t xml:space="preserve"> </w:t>
            </w:r>
          </w:p>
          <w:p w:rsidR="00F7563E" w:rsidRDefault="009361B9">
            <w:pPr>
              <w:rPr>
                <w:rFonts w:eastAsia="Times New Roman"/>
                <w:sz w:val="24"/>
              </w:rPr>
            </w:pPr>
            <w:r>
              <w:rPr>
                <w:sz w:val="24"/>
              </w:rPr>
              <w:t>当</w:t>
            </w:r>
            <w:r>
              <w:rPr>
                <w:sz w:val="24"/>
              </w:rPr>
              <w:t>N≥6</w:t>
            </w:r>
            <w:r>
              <w:rPr>
                <w:sz w:val="24"/>
              </w:rPr>
              <w:t>时，</w:t>
            </w:r>
            <w:r>
              <w:rPr>
                <w:sz w:val="24"/>
              </w:rPr>
              <w:t>n1</w:t>
            </w:r>
            <w:r>
              <w:rPr>
                <w:sz w:val="24"/>
              </w:rPr>
              <w:t>在取值区间</w:t>
            </w:r>
            <w:r>
              <w:rPr>
                <w:sz w:val="24"/>
              </w:rPr>
              <w:t>1</w:t>
            </w:r>
            <w:r>
              <w:rPr>
                <w:sz w:val="24"/>
              </w:rPr>
              <w:t>～</w:t>
            </w:r>
            <w:r>
              <w:rPr>
                <w:sz w:val="24"/>
              </w:rPr>
              <w:t>M-1</w:t>
            </w:r>
            <w:r>
              <w:rPr>
                <w:sz w:val="24"/>
              </w:rPr>
              <w:t>中随机抽取（最小为</w:t>
            </w:r>
            <w:r>
              <w:rPr>
                <w:sz w:val="24"/>
              </w:rPr>
              <w:t>1</w:t>
            </w:r>
            <w:r>
              <w:rPr>
                <w:sz w:val="24"/>
              </w:rPr>
              <w:t>），</w:t>
            </w:r>
            <w:r>
              <w:rPr>
                <w:sz w:val="24"/>
              </w:rPr>
              <w:t>n2</w:t>
            </w:r>
            <w:r>
              <w:rPr>
                <w:sz w:val="24"/>
              </w:rPr>
              <w:t>在取值区间</w:t>
            </w:r>
            <w:r>
              <w:rPr>
                <w:sz w:val="24"/>
              </w:rPr>
              <w:t>1</w:t>
            </w:r>
            <w:r>
              <w:rPr>
                <w:sz w:val="24"/>
              </w:rPr>
              <w:t>～</w:t>
            </w:r>
            <w:r>
              <w:rPr>
                <w:sz w:val="24"/>
              </w:rPr>
              <w:t>M+1</w:t>
            </w:r>
            <w:r>
              <w:rPr>
                <w:sz w:val="24"/>
              </w:rPr>
              <w:t>中随机抽取，</w:t>
            </w:r>
            <w:r>
              <w:rPr>
                <w:sz w:val="24"/>
              </w:rPr>
              <w:t xml:space="preserve"> M=N/4</w:t>
            </w:r>
            <w:r>
              <w:rPr>
                <w:sz w:val="24"/>
              </w:rPr>
              <w:t>，</w:t>
            </w:r>
            <w:r>
              <w:rPr>
                <w:sz w:val="24"/>
              </w:rPr>
              <w:t>M</w:t>
            </w:r>
            <w:r>
              <w:rPr>
                <w:sz w:val="24"/>
              </w:rPr>
              <w:t>去尾取整。</w:t>
            </w:r>
          </w:p>
        </w:tc>
      </w:tr>
      <w:tr w:rsidR="00F7563E">
        <w:tc>
          <w:tcPr>
            <w:tcW w:w="94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rPr>
              <w:t>2.2.3</w:t>
            </w:r>
          </w:p>
        </w:tc>
        <w:tc>
          <w:tcPr>
            <w:tcW w:w="1311" w:type="dxa"/>
            <w:gridSpan w:val="2"/>
            <w:tcBorders>
              <w:top w:val="single" w:sz="4" w:space="0" w:color="auto"/>
              <w:left w:val="nil"/>
              <w:bottom w:val="single" w:sz="4" w:space="0" w:color="auto"/>
              <w:right w:val="single" w:sz="4" w:space="0" w:color="auto"/>
            </w:tcBorders>
            <w:vAlign w:val="center"/>
          </w:tcPr>
          <w:p w:rsidR="00F7563E" w:rsidRDefault="009361B9">
            <w:pPr>
              <w:widowControl/>
              <w:spacing w:line="380" w:lineRule="atLeast"/>
              <w:ind w:leftChars="-50" w:left="-170" w:rightChars="-50" w:right="-170"/>
              <w:jc w:val="center"/>
              <w:rPr>
                <w:rFonts w:eastAsia="Times New Roman"/>
                <w:sz w:val="24"/>
              </w:rPr>
            </w:pPr>
            <w:r>
              <w:rPr>
                <w:sz w:val="24"/>
              </w:rPr>
              <w:t>评标价的偏差率计算公式</w:t>
            </w:r>
          </w:p>
        </w:tc>
        <w:tc>
          <w:tcPr>
            <w:tcW w:w="6563" w:type="dxa"/>
            <w:gridSpan w:val="4"/>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40" w:lineRule="atLeast"/>
              <w:ind w:firstLineChars="200" w:firstLine="480"/>
              <w:rPr>
                <w:rFonts w:eastAsia="Times New Roman"/>
                <w:sz w:val="24"/>
              </w:rPr>
            </w:pPr>
            <w:r>
              <w:rPr>
                <w:sz w:val="24"/>
              </w:rPr>
              <w:t>偏差率</w:t>
            </w:r>
            <w:r>
              <w:rPr>
                <w:sz w:val="24"/>
              </w:rPr>
              <w:t>=100% ×</w:t>
            </w:r>
            <w:r>
              <w:rPr>
                <w:sz w:val="24"/>
              </w:rPr>
              <w:t>（投标人评标价－评标基准价）</w:t>
            </w:r>
            <w:r>
              <w:rPr>
                <w:sz w:val="24"/>
              </w:rPr>
              <w:t>/</w:t>
            </w:r>
            <w:r>
              <w:rPr>
                <w:sz w:val="24"/>
              </w:rPr>
              <w:t>评标基准价</w:t>
            </w:r>
          </w:p>
          <w:p w:rsidR="00F7563E" w:rsidRDefault="009361B9">
            <w:pPr>
              <w:widowControl/>
              <w:spacing w:line="340" w:lineRule="atLeast"/>
              <w:ind w:firstLineChars="200" w:firstLine="480"/>
              <w:rPr>
                <w:rFonts w:eastAsia="Times New Roman"/>
                <w:b/>
                <w:sz w:val="24"/>
              </w:rPr>
            </w:pPr>
            <w:r>
              <w:rPr>
                <w:sz w:val="24"/>
              </w:rPr>
              <w:t>偏差率保留</w:t>
            </w:r>
            <w:r>
              <w:rPr>
                <w:rFonts w:eastAsia="Times New Roman"/>
                <w:sz w:val="24"/>
                <w:u w:val="single"/>
              </w:rPr>
              <w:t xml:space="preserve"> 4 </w:t>
            </w:r>
            <w:r>
              <w:rPr>
                <w:sz w:val="24"/>
              </w:rPr>
              <w:t>位小数</w:t>
            </w:r>
            <w:r>
              <w:rPr>
                <w:rFonts w:hint="eastAsia"/>
                <w:sz w:val="24"/>
              </w:rPr>
              <w:t>，示例</w:t>
            </w:r>
            <w:r>
              <w:rPr>
                <w:rFonts w:hint="eastAsia"/>
                <w:sz w:val="24"/>
              </w:rPr>
              <w:t>00.00%</w:t>
            </w:r>
          </w:p>
        </w:tc>
      </w:tr>
      <w:tr w:rsidR="00F7563E">
        <w:tblPrEx>
          <w:tblBorders>
            <w:insideH w:val="single" w:sz="4" w:space="0" w:color="auto"/>
            <w:insideV w:val="single" w:sz="4" w:space="0" w:color="auto"/>
          </w:tblBorders>
        </w:tblPrEx>
        <w:trPr>
          <w:tblHeader/>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b/>
                <w:sz w:val="24"/>
              </w:rPr>
            </w:pPr>
            <w:r>
              <w:rPr>
                <w:b/>
                <w:sz w:val="24"/>
              </w:rPr>
              <w:t>条款号</w:t>
            </w:r>
          </w:p>
        </w:tc>
        <w:tc>
          <w:tcPr>
            <w:tcW w:w="4188" w:type="dxa"/>
            <w:gridSpan w:val="5"/>
            <w:tcBorders>
              <w:top w:val="single" w:sz="4" w:space="0" w:color="auto"/>
              <w:left w:val="single" w:sz="4" w:space="0" w:color="auto"/>
              <w:bottom w:val="single" w:sz="4" w:space="0" w:color="auto"/>
              <w:right w:val="single" w:sz="4" w:space="0" w:color="auto"/>
            </w:tcBorders>
          </w:tcPr>
          <w:p w:rsidR="00F7563E" w:rsidRDefault="009361B9">
            <w:pPr>
              <w:widowControl/>
              <w:spacing w:line="380" w:lineRule="atLeast"/>
              <w:jc w:val="center"/>
              <w:rPr>
                <w:rFonts w:eastAsia="Times New Roman"/>
                <w:b/>
                <w:sz w:val="24"/>
              </w:rPr>
            </w:pPr>
            <w:r>
              <w:rPr>
                <w:b/>
                <w:sz w:val="24"/>
              </w:rPr>
              <w:t>评分因素与权重分值</w:t>
            </w:r>
            <w:r>
              <w:rPr>
                <w:b/>
                <w:sz w:val="24"/>
                <w:vertAlign w:val="superscript"/>
              </w:rPr>
              <w:footnoteReference w:id="1"/>
            </w: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b/>
                <w:sz w:val="24"/>
              </w:rPr>
            </w:pPr>
            <w:r>
              <w:rPr>
                <w:b/>
                <w:sz w:val="24"/>
              </w:rPr>
              <w:t>评分标准</w:t>
            </w:r>
          </w:p>
        </w:tc>
      </w:tr>
      <w:tr w:rsidR="00F7563E">
        <w:tblPrEx>
          <w:tblBorders>
            <w:insideH w:val="single" w:sz="4" w:space="0" w:color="auto"/>
            <w:insideV w:val="single" w:sz="4" w:space="0" w:color="auto"/>
          </w:tblBorders>
        </w:tblPrEx>
        <w:trPr>
          <w:tblHeader/>
        </w:trPr>
        <w:tc>
          <w:tcPr>
            <w:tcW w:w="942" w:type="dxa"/>
            <w:vMerge/>
            <w:tcBorders>
              <w:top w:val="single" w:sz="4" w:space="0" w:color="auto"/>
              <w:left w:val="single" w:sz="4" w:space="0" w:color="auto"/>
              <w:bottom w:val="single" w:sz="4" w:space="0" w:color="auto"/>
              <w:right w:val="single" w:sz="4" w:space="0" w:color="auto"/>
            </w:tcBorders>
            <w:vAlign w:val="center"/>
          </w:tcPr>
          <w:p w:rsidR="00F7563E" w:rsidRDefault="00F7563E">
            <w:pPr>
              <w:widowControl/>
              <w:rPr>
                <w:rFonts w:eastAsia="Times New Roman"/>
                <w:b/>
                <w:sz w:val="24"/>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b/>
                <w:sz w:val="24"/>
              </w:rPr>
            </w:pPr>
            <w:r>
              <w:rPr>
                <w:b/>
                <w:sz w:val="24"/>
              </w:rPr>
              <w:t>评分因素</w:t>
            </w:r>
          </w:p>
        </w:tc>
        <w:tc>
          <w:tcPr>
            <w:tcW w:w="87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ind w:leftChars="-50" w:left="-170" w:rightChars="-50" w:right="-170"/>
              <w:jc w:val="center"/>
              <w:rPr>
                <w:rFonts w:eastAsia="Times New Roman"/>
                <w:b/>
                <w:sz w:val="24"/>
              </w:rPr>
            </w:pPr>
            <w:r>
              <w:rPr>
                <w:b/>
                <w:sz w:val="24"/>
              </w:rPr>
              <w:t>评分因素权重分值</w:t>
            </w:r>
          </w:p>
        </w:tc>
        <w:tc>
          <w:tcPr>
            <w:tcW w:w="123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b/>
                <w:sz w:val="24"/>
              </w:rPr>
            </w:pPr>
            <w:r>
              <w:rPr>
                <w:b/>
                <w:sz w:val="24"/>
              </w:rPr>
              <w:t>各评分因素细分项</w:t>
            </w:r>
          </w:p>
        </w:tc>
        <w:tc>
          <w:tcPr>
            <w:tcW w:w="769"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right"/>
              <w:rPr>
                <w:rFonts w:eastAsia="Times New Roman"/>
                <w:b/>
                <w:sz w:val="24"/>
              </w:rPr>
            </w:pPr>
            <w:r>
              <w:rPr>
                <w:b/>
                <w:sz w:val="24"/>
              </w:rPr>
              <w:t>分值</w:t>
            </w:r>
          </w:p>
        </w:tc>
        <w:tc>
          <w:tcPr>
            <w:tcW w:w="3686" w:type="dxa"/>
            <w:vMerge/>
            <w:tcBorders>
              <w:top w:val="single" w:sz="4" w:space="0" w:color="auto"/>
              <w:left w:val="single" w:sz="4" w:space="0" w:color="auto"/>
              <w:bottom w:val="single" w:sz="4" w:space="0" w:color="auto"/>
              <w:right w:val="single" w:sz="4" w:space="0" w:color="auto"/>
            </w:tcBorders>
            <w:vAlign w:val="center"/>
          </w:tcPr>
          <w:p w:rsidR="00F7563E" w:rsidRDefault="00F7563E">
            <w:pPr>
              <w:widowControl/>
              <w:rPr>
                <w:rFonts w:eastAsia="Times New Roman"/>
                <w:b/>
                <w:sz w:val="24"/>
              </w:rPr>
            </w:pPr>
          </w:p>
        </w:tc>
      </w:tr>
      <w:tr w:rsidR="00F7563E">
        <w:tblPrEx>
          <w:tblBorders>
            <w:insideH w:val="single" w:sz="4" w:space="0" w:color="auto"/>
            <w:insideV w:val="single" w:sz="4" w:space="0" w:color="auto"/>
          </w:tblBorders>
        </w:tblPrEx>
        <w:trPr>
          <w:trHeight w:val="2845"/>
        </w:trPr>
        <w:tc>
          <w:tcPr>
            <w:tcW w:w="942" w:type="dxa"/>
            <w:vMerge w:val="restart"/>
            <w:tcBorders>
              <w:top w:val="single" w:sz="4" w:space="0" w:color="auto"/>
              <w:left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rPr>
              <w:lastRenderedPageBreak/>
              <w:t>2.2.4(1)</w:t>
            </w:r>
          </w:p>
        </w:tc>
        <w:tc>
          <w:tcPr>
            <w:tcW w:w="1311" w:type="dxa"/>
            <w:gridSpan w:val="2"/>
            <w:vMerge w:val="restart"/>
            <w:tcBorders>
              <w:top w:val="single" w:sz="4" w:space="0" w:color="auto"/>
              <w:left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技术建议书</w:t>
            </w:r>
          </w:p>
        </w:tc>
        <w:tc>
          <w:tcPr>
            <w:tcW w:w="872" w:type="dxa"/>
            <w:vMerge w:val="restart"/>
            <w:tcBorders>
              <w:top w:val="single" w:sz="4" w:space="0" w:color="auto"/>
              <w:left w:val="single" w:sz="4" w:space="0" w:color="auto"/>
              <w:right w:val="single" w:sz="4" w:space="0" w:color="auto"/>
            </w:tcBorders>
            <w:vAlign w:val="center"/>
          </w:tcPr>
          <w:p w:rsidR="00F7563E" w:rsidRDefault="009361B9">
            <w:pPr>
              <w:widowControl/>
              <w:spacing w:line="380" w:lineRule="atLeast"/>
              <w:jc w:val="center"/>
              <w:rPr>
                <w:rFonts w:eastAsia="Times New Roman"/>
                <w:sz w:val="24"/>
                <w:u w:val="single"/>
              </w:rPr>
            </w:pPr>
            <w:r>
              <w:rPr>
                <w:rFonts w:eastAsia="Times New Roman"/>
                <w:sz w:val="24"/>
                <w:u w:val="single"/>
              </w:rPr>
              <w:t>35</w:t>
            </w:r>
            <w:r>
              <w:rPr>
                <w:sz w:val="24"/>
              </w:rPr>
              <w:t>分</w:t>
            </w:r>
          </w:p>
        </w:tc>
        <w:tc>
          <w:tcPr>
            <w:tcW w:w="1236" w:type="dxa"/>
            <w:vMerge w:val="restart"/>
            <w:tcBorders>
              <w:top w:val="single" w:sz="4" w:space="0" w:color="auto"/>
              <w:left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监理大纲（或监理方案）和措施</w:t>
            </w:r>
          </w:p>
        </w:tc>
        <w:tc>
          <w:tcPr>
            <w:tcW w:w="769" w:type="dxa"/>
            <w:vMerge w:val="restart"/>
            <w:tcBorders>
              <w:top w:val="single" w:sz="4" w:space="0" w:color="auto"/>
              <w:left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u w:val="single"/>
              </w:rPr>
              <w:t>20</w:t>
            </w:r>
            <w:r>
              <w:rPr>
                <w:sz w:val="24"/>
              </w:rPr>
              <w:t>分</w:t>
            </w:r>
          </w:p>
        </w:tc>
        <w:tc>
          <w:tcPr>
            <w:tcW w:w="368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exact"/>
              <w:rPr>
                <w:rFonts w:eastAsia="Times New Roman"/>
                <w:sz w:val="24"/>
              </w:rPr>
            </w:pPr>
            <w:r>
              <w:rPr>
                <w:rFonts w:eastAsia="Times New Roman"/>
                <w:sz w:val="24"/>
              </w:rPr>
              <w:t xml:space="preserve">a. </w:t>
            </w:r>
            <w:r>
              <w:rPr>
                <w:sz w:val="24"/>
              </w:rPr>
              <w:t>监理大纲（或监理方案）</w:t>
            </w:r>
            <w:r>
              <w:rPr>
                <w:sz w:val="24"/>
              </w:rPr>
              <w:t>5</w:t>
            </w:r>
            <w:r>
              <w:rPr>
                <w:sz w:val="24"/>
              </w:rPr>
              <w:t>分</w:t>
            </w:r>
          </w:p>
          <w:p w:rsidR="00F7563E" w:rsidRDefault="009361B9">
            <w:pPr>
              <w:widowControl/>
              <w:spacing w:line="380" w:lineRule="exact"/>
              <w:ind w:firstLineChars="200" w:firstLine="480"/>
              <w:rPr>
                <w:rFonts w:eastAsia="Times New Roman"/>
                <w:sz w:val="24"/>
              </w:rPr>
            </w:pPr>
            <w:r>
              <w:rPr>
                <w:sz w:val="24"/>
              </w:rPr>
              <w:t>根据投标人的监理大纲（监理方案）是否可行，能否充分满足本项目工程质量、进度、费用控制的要求进行评定，合理可行的得</w:t>
            </w:r>
            <w:r>
              <w:rPr>
                <w:sz w:val="24"/>
              </w:rPr>
              <w:t>4~5</w:t>
            </w:r>
            <w:r>
              <w:rPr>
                <w:sz w:val="24"/>
              </w:rPr>
              <w:t>分，较合理可行的得</w:t>
            </w:r>
            <w:r>
              <w:rPr>
                <w:sz w:val="24"/>
              </w:rPr>
              <w:t>3~4</w:t>
            </w:r>
            <w:r>
              <w:rPr>
                <w:sz w:val="24"/>
              </w:rPr>
              <w:t>分，可行性一般得</w:t>
            </w:r>
            <w:r>
              <w:rPr>
                <w:sz w:val="24"/>
              </w:rPr>
              <w:t>3</w:t>
            </w:r>
            <w:r>
              <w:rPr>
                <w:sz w:val="24"/>
              </w:rPr>
              <w:t>分。</w:t>
            </w:r>
          </w:p>
        </w:tc>
      </w:tr>
      <w:tr w:rsidR="00F7563E">
        <w:tblPrEx>
          <w:tblBorders>
            <w:insideH w:val="single" w:sz="4" w:space="0" w:color="auto"/>
            <w:insideV w:val="single" w:sz="4" w:space="0" w:color="auto"/>
          </w:tblBorders>
        </w:tblPrEx>
        <w:trPr>
          <w:trHeight w:val="2845"/>
        </w:trPr>
        <w:tc>
          <w:tcPr>
            <w:tcW w:w="942" w:type="dxa"/>
            <w:vMerge/>
            <w:tcBorders>
              <w:left w:val="single" w:sz="4" w:space="0" w:color="auto"/>
              <w:bottom w:val="single" w:sz="4" w:space="0" w:color="auto"/>
              <w:right w:val="single" w:sz="4" w:space="0" w:color="auto"/>
            </w:tcBorders>
            <w:vAlign w:val="center"/>
          </w:tcPr>
          <w:p w:rsidR="00F7563E" w:rsidRDefault="00F7563E">
            <w:pPr>
              <w:widowControl/>
              <w:spacing w:line="380" w:lineRule="exact"/>
              <w:ind w:firstLineChars="200" w:firstLine="680"/>
            </w:pPr>
          </w:p>
        </w:tc>
        <w:tc>
          <w:tcPr>
            <w:tcW w:w="1311" w:type="dxa"/>
            <w:gridSpan w:val="2"/>
            <w:vMerge/>
            <w:tcBorders>
              <w:left w:val="single" w:sz="4" w:space="0" w:color="auto"/>
              <w:bottom w:val="single" w:sz="4" w:space="0" w:color="auto"/>
              <w:right w:val="single" w:sz="4" w:space="0" w:color="auto"/>
            </w:tcBorders>
            <w:vAlign w:val="center"/>
          </w:tcPr>
          <w:p w:rsidR="00F7563E" w:rsidRDefault="00F7563E">
            <w:pPr>
              <w:widowControl/>
              <w:spacing w:line="380" w:lineRule="exact"/>
              <w:ind w:firstLineChars="200" w:firstLine="680"/>
            </w:pPr>
          </w:p>
        </w:tc>
        <w:tc>
          <w:tcPr>
            <w:tcW w:w="872" w:type="dxa"/>
            <w:vMerge/>
            <w:tcBorders>
              <w:left w:val="single" w:sz="4" w:space="0" w:color="auto"/>
              <w:bottom w:val="single" w:sz="4" w:space="0" w:color="auto"/>
              <w:right w:val="single" w:sz="4" w:space="0" w:color="auto"/>
            </w:tcBorders>
            <w:vAlign w:val="center"/>
          </w:tcPr>
          <w:p w:rsidR="00F7563E" w:rsidRDefault="00F7563E">
            <w:pPr>
              <w:widowControl/>
              <w:spacing w:line="380" w:lineRule="exact"/>
              <w:ind w:firstLineChars="200" w:firstLine="680"/>
            </w:pPr>
          </w:p>
        </w:tc>
        <w:tc>
          <w:tcPr>
            <w:tcW w:w="1236" w:type="dxa"/>
            <w:vMerge/>
            <w:tcBorders>
              <w:left w:val="single" w:sz="4" w:space="0" w:color="auto"/>
              <w:bottom w:val="single" w:sz="4" w:space="0" w:color="auto"/>
              <w:right w:val="single" w:sz="4" w:space="0" w:color="auto"/>
            </w:tcBorders>
            <w:vAlign w:val="center"/>
          </w:tcPr>
          <w:p w:rsidR="00F7563E" w:rsidRDefault="00F7563E">
            <w:pPr>
              <w:widowControl/>
              <w:spacing w:line="380" w:lineRule="exact"/>
              <w:ind w:firstLineChars="200" w:firstLine="680"/>
            </w:pPr>
          </w:p>
        </w:tc>
        <w:tc>
          <w:tcPr>
            <w:tcW w:w="769" w:type="dxa"/>
            <w:vMerge/>
            <w:tcBorders>
              <w:left w:val="single" w:sz="4" w:space="0" w:color="auto"/>
              <w:bottom w:val="single" w:sz="4" w:space="0" w:color="auto"/>
              <w:right w:val="single" w:sz="4" w:space="0" w:color="auto"/>
            </w:tcBorders>
            <w:vAlign w:val="center"/>
          </w:tcPr>
          <w:p w:rsidR="00F7563E" w:rsidRDefault="00F7563E">
            <w:pPr>
              <w:widowControl/>
              <w:spacing w:line="380" w:lineRule="exact"/>
              <w:ind w:firstLineChars="200" w:firstLine="680"/>
            </w:pPr>
          </w:p>
        </w:tc>
        <w:tc>
          <w:tcPr>
            <w:tcW w:w="368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exact"/>
              <w:rPr>
                <w:rFonts w:eastAsia="Times New Roman"/>
                <w:sz w:val="24"/>
              </w:rPr>
            </w:pPr>
            <w:r>
              <w:rPr>
                <w:rFonts w:eastAsia="Times New Roman"/>
                <w:sz w:val="24"/>
              </w:rPr>
              <w:t>b.</w:t>
            </w:r>
            <w:r>
              <w:rPr>
                <w:sz w:val="24"/>
              </w:rPr>
              <w:t>监理措施</w:t>
            </w:r>
            <w:r>
              <w:rPr>
                <w:sz w:val="24"/>
              </w:rPr>
              <w:t xml:space="preserve"> 15</w:t>
            </w:r>
            <w:r>
              <w:rPr>
                <w:sz w:val="24"/>
              </w:rPr>
              <w:t>分</w:t>
            </w:r>
          </w:p>
          <w:p w:rsidR="00F7563E" w:rsidRDefault="009361B9">
            <w:pPr>
              <w:widowControl/>
              <w:spacing w:line="380" w:lineRule="exact"/>
              <w:ind w:firstLineChars="200" w:firstLine="480"/>
              <w:rPr>
                <w:sz w:val="24"/>
              </w:rPr>
            </w:pPr>
            <w:r>
              <w:rPr>
                <w:sz w:val="24"/>
              </w:rPr>
              <w:t>根据质量监理、安全监理、费用监理、进度监理、合同其他事项管理、协调各方关系等各项措施的合理可行性和有效性进行评定，措施好、得力的得</w:t>
            </w:r>
            <w:r>
              <w:rPr>
                <w:sz w:val="24"/>
              </w:rPr>
              <w:t>12</w:t>
            </w:r>
            <w:r>
              <w:rPr>
                <w:sz w:val="24"/>
              </w:rPr>
              <w:t>～</w:t>
            </w:r>
            <w:r>
              <w:rPr>
                <w:sz w:val="24"/>
              </w:rPr>
              <w:t>15</w:t>
            </w:r>
            <w:r>
              <w:rPr>
                <w:sz w:val="24"/>
              </w:rPr>
              <w:t>分，措施较好的得</w:t>
            </w:r>
            <w:r>
              <w:rPr>
                <w:sz w:val="24"/>
              </w:rPr>
              <w:t>9</w:t>
            </w:r>
            <w:r>
              <w:rPr>
                <w:sz w:val="24"/>
              </w:rPr>
              <w:t>～</w:t>
            </w:r>
            <w:r>
              <w:rPr>
                <w:sz w:val="24"/>
              </w:rPr>
              <w:t>12</w:t>
            </w:r>
            <w:r>
              <w:rPr>
                <w:sz w:val="24"/>
              </w:rPr>
              <w:t>分，措施一般的得</w:t>
            </w:r>
            <w:r>
              <w:rPr>
                <w:sz w:val="24"/>
              </w:rPr>
              <w:t>9</w:t>
            </w:r>
            <w:r>
              <w:rPr>
                <w:sz w:val="24"/>
              </w:rPr>
              <w:t>分。</w:t>
            </w:r>
          </w:p>
        </w:tc>
      </w:tr>
      <w:tr w:rsidR="00F7563E">
        <w:tblPrEx>
          <w:tblBorders>
            <w:insideH w:val="single" w:sz="4" w:space="0" w:color="auto"/>
            <w:insideV w:val="single" w:sz="4" w:space="0" w:color="auto"/>
          </w:tblBorders>
        </w:tblPrEx>
        <w:trPr>
          <w:trHeight w:val="2085"/>
        </w:trPr>
        <w:tc>
          <w:tcPr>
            <w:tcW w:w="942" w:type="dxa"/>
            <w:vMerge/>
            <w:tcBorders>
              <w:top w:val="single" w:sz="4" w:space="0" w:color="auto"/>
              <w:left w:val="single" w:sz="4" w:space="0" w:color="auto"/>
              <w:bottom w:val="single" w:sz="4" w:space="0" w:color="auto"/>
              <w:right w:val="single" w:sz="4" w:space="0" w:color="auto"/>
            </w:tcBorders>
            <w:vAlign w:val="center"/>
          </w:tcPr>
          <w:p w:rsidR="00F7563E" w:rsidRDefault="00F7563E">
            <w:pPr>
              <w:widowControl/>
              <w:rPr>
                <w:rFonts w:eastAsia="Times New Roman"/>
                <w:sz w:val="24"/>
              </w:rPr>
            </w:pPr>
          </w:p>
        </w:tc>
        <w:tc>
          <w:tcPr>
            <w:tcW w:w="1311" w:type="dxa"/>
            <w:gridSpan w:val="2"/>
            <w:vMerge/>
            <w:tcBorders>
              <w:top w:val="single" w:sz="4" w:space="0" w:color="auto"/>
              <w:left w:val="single" w:sz="4" w:space="0" w:color="auto"/>
              <w:bottom w:val="single" w:sz="4" w:space="0" w:color="auto"/>
              <w:right w:val="single" w:sz="4" w:space="0" w:color="auto"/>
            </w:tcBorders>
            <w:vAlign w:val="center"/>
          </w:tcPr>
          <w:p w:rsidR="00F7563E" w:rsidRDefault="00F7563E">
            <w:pPr>
              <w:widowControl/>
              <w:rPr>
                <w:rFonts w:eastAsia="Times New Roman"/>
                <w:sz w:val="24"/>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F7563E" w:rsidRDefault="00F7563E">
            <w:pPr>
              <w:widowControl/>
              <w:rPr>
                <w:rFonts w:eastAsia="Times New Roman"/>
                <w:sz w:val="24"/>
                <w:u w:val="single"/>
              </w:rPr>
            </w:pPr>
          </w:p>
        </w:tc>
        <w:tc>
          <w:tcPr>
            <w:tcW w:w="1236" w:type="dxa"/>
            <w:vMerge w:val="restart"/>
            <w:tcBorders>
              <w:top w:val="single" w:sz="4" w:space="0" w:color="auto"/>
              <w:left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本工程监理工作的重点与难点分析</w:t>
            </w:r>
          </w:p>
        </w:tc>
        <w:tc>
          <w:tcPr>
            <w:tcW w:w="769" w:type="dxa"/>
            <w:vMerge w:val="restart"/>
            <w:tcBorders>
              <w:top w:val="single" w:sz="4" w:space="0" w:color="auto"/>
              <w:left w:val="single" w:sz="4" w:space="0" w:color="auto"/>
              <w:right w:val="single" w:sz="4" w:space="0" w:color="auto"/>
            </w:tcBorders>
            <w:vAlign w:val="center"/>
          </w:tcPr>
          <w:p w:rsidR="00F7563E" w:rsidRDefault="009361B9">
            <w:pPr>
              <w:widowControl/>
              <w:spacing w:line="380" w:lineRule="atLeast"/>
              <w:ind w:right="-88"/>
              <w:jc w:val="center"/>
              <w:rPr>
                <w:rFonts w:eastAsia="Times New Roman"/>
                <w:sz w:val="24"/>
              </w:rPr>
            </w:pPr>
            <w:r>
              <w:rPr>
                <w:rFonts w:eastAsia="Times New Roman"/>
                <w:sz w:val="24"/>
                <w:u w:val="single"/>
              </w:rPr>
              <w:t>10</w:t>
            </w:r>
            <w:r>
              <w:rPr>
                <w:sz w:val="24"/>
              </w:rPr>
              <w:t>分</w:t>
            </w:r>
          </w:p>
        </w:tc>
        <w:tc>
          <w:tcPr>
            <w:tcW w:w="368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rPr>
                <w:rFonts w:eastAsia="Times New Roman"/>
                <w:sz w:val="24"/>
              </w:rPr>
            </w:pPr>
            <w:r>
              <w:rPr>
                <w:rFonts w:eastAsia="Times New Roman"/>
                <w:sz w:val="24"/>
              </w:rPr>
              <w:t>a.</w:t>
            </w:r>
            <w:r>
              <w:rPr>
                <w:sz w:val="24"/>
              </w:rPr>
              <w:t>对本工程重点、难点问题的把握程度（</w:t>
            </w:r>
            <w:r>
              <w:rPr>
                <w:sz w:val="24"/>
              </w:rPr>
              <w:t>5</w:t>
            </w:r>
            <w:r>
              <w:rPr>
                <w:sz w:val="24"/>
              </w:rPr>
              <w:t>分）：</w:t>
            </w:r>
          </w:p>
          <w:p w:rsidR="00F7563E" w:rsidRDefault="009361B9">
            <w:pPr>
              <w:widowControl/>
              <w:spacing w:line="380" w:lineRule="atLeast"/>
              <w:ind w:firstLineChars="200" w:firstLine="480"/>
              <w:rPr>
                <w:rFonts w:eastAsia="Times New Roman"/>
                <w:sz w:val="24"/>
              </w:rPr>
            </w:pPr>
            <w:r>
              <w:rPr>
                <w:sz w:val="24"/>
              </w:rPr>
              <w:t>非常准确的得</w:t>
            </w:r>
            <w:r>
              <w:rPr>
                <w:sz w:val="24"/>
              </w:rPr>
              <w:t>4~5</w:t>
            </w:r>
            <w:r>
              <w:rPr>
                <w:sz w:val="24"/>
              </w:rPr>
              <w:t>分，较准确的得</w:t>
            </w:r>
            <w:r>
              <w:rPr>
                <w:sz w:val="24"/>
              </w:rPr>
              <w:t>3~4</w:t>
            </w:r>
            <w:r>
              <w:rPr>
                <w:sz w:val="24"/>
              </w:rPr>
              <w:t>分，基本准确得</w:t>
            </w:r>
            <w:r>
              <w:rPr>
                <w:sz w:val="24"/>
              </w:rPr>
              <w:t>3</w:t>
            </w:r>
            <w:r>
              <w:rPr>
                <w:sz w:val="24"/>
              </w:rPr>
              <w:t>分。</w:t>
            </w:r>
          </w:p>
        </w:tc>
      </w:tr>
      <w:tr w:rsidR="00F7563E">
        <w:tblPrEx>
          <w:tblBorders>
            <w:insideH w:val="single" w:sz="4" w:space="0" w:color="auto"/>
            <w:insideV w:val="single" w:sz="4" w:space="0" w:color="auto"/>
          </w:tblBorders>
        </w:tblPrEx>
        <w:trPr>
          <w:trHeight w:val="2085"/>
        </w:trPr>
        <w:tc>
          <w:tcPr>
            <w:tcW w:w="942" w:type="dxa"/>
            <w:vMerge/>
            <w:tcBorders>
              <w:left w:val="single" w:sz="4" w:space="0" w:color="auto"/>
              <w:bottom w:val="single" w:sz="4" w:space="0" w:color="auto"/>
              <w:right w:val="single" w:sz="4" w:space="0" w:color="auto"/>
            </w:tcBorders>
            <w:vAlign w:val="center"/>
          </w:tcPr>
          <w:p w:rsidR="00F7563E" w:rsidRDefault="00F7563E">
            <w:pPr>
              <w:widowControl/>
              <w:spacing w:line="380" w:lineRule="atLeast"/>
              <w:ind w:firstLineChars="200" w:firstLine="680"/>
            </w:pPr>
          </w:p>
        </w:tc>
        <w:tc>
          <w:tcPr>
            <w:tcW w:w="1311" w:type="dxa"/>
            <w:gridSpan w:val="2"/>
            <w:vMerge/>
            <w:tcBorders>
              <w:left w:val="single" w:sz="4" w:space="0" w:color="auto"/>
              <w:bottom w:val="single" w:sz="4" w:space="0" w:color="auto"/>
              <w:right w:val="single" w:sz="4" w:space="0" w:color="auto"/>
            </w:tcBorders>
            <w:vAlign w:val="center"/>
          </w:tcPr>
          <w:p w:rsidR="00F7563E" w:rsidRDefault="00F7563E">
            <w:pPr>
              <w:widowControl/>
              <w:spacing w:line="380" w:lineRule="atLeast"/>
              <w:ind w:firstLineChars="200" w:firstLine="680"/>
            </w:pPr>
          </w:p>
        </w:tc>
        <w:tc>
          <w:tcPr>
            <w:tcW w:w="872" w:type="dxa"/>
            <w:vMerge/>
            <w:tcBorders>
              <w:left w:val="single" w:sz="4" w:space="0" w:color="auto"/>
              <w:bottom w:val="single" w:sz="4" w:space="0" w:color="auto"/>
              <w:right w:val="single" w:sz="4" w:space="0" w:color="auto"/>
            </w:tcBorders>
            <w:vAlign w:val="center"/>
          </w:tcPr>
          <w:p w:rsidR="00F7563E" w:rsidRDefault="00F7563E">
            <w:pPr>
              <w:widowControl/>
              <w:spacing w:line="380" w:lineRule="atLeast"/>
              <w:ind w:firstLineChars="200" w:firstLine="680"/>
            </w:pPr>
          </w:p>
        </w:tc>
        <w:tc>
          <w:tcPr>
            <w:tcW w:w="1236" w:type="dxa"/>
            <w:vMerge/>
            <w:tcBorders>
              <w:left w:val="single" w:sz="4" w:space="0" w:color="auto"/>
              <w:bottom w:val="single" w:sz="4" w:space="0" w:color="auto"/>
              <w:right w:val="single" w:sz="4" w:space="0" w:color="auto"/>
            </w:tcBorders>
            <w:vAlign w:val="center"/>
          </w:tcPr>
          <w:p w:rsidR="00F7563E" w:rsidRDefault="00F7563E">
            <w:pPr>
              <w:widowControl/>
              <w:spacing w:line="380" w:lineRule="atLeast"/>
              <w:ind w:firstLineChars="200" w:firstLine="680"/>
            </w:pPr>
          </w:p>
        </w:tc>
        <w:tc>
          <w:tcPr>
            <w:tcW w:w="769" w:type="dxa"/>
            <w:vMerge/>
            <w:tcBorders>
              <w:left w:val="single" w:sz="4" w:space="0" w:color="auto"/>
              <w:bottom w:val="single" w:sz="4" w:space="0" w:color="auto"/>
              <w:right w:val="single" w:sz="4" w:space="0" w:color="auto"/>
            </w:tcBorders>
            <w:vAlign w:val="center"/>
          </w:tcPr>
          <w:p w:rsidR="00F7563E" w:rsidRDefault="00F7563E">
            <w:pPr>
              <w:widowControl/>
              <w:spacing w:line="380" w:lineRule="atLeast"/>
              <w:ind w:firstLineChars="200" w:firstLine="680"/>
            </w:pPr>
          </w:p>
        </w:tc>
        <w:tc>
          <w:tcPr>
            <w:tcW w:w="368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rPr>
                <w:rFonts w:eastAsia="Times New Roman"/>
                <w:sz w:val="24"/>
              </w:rPr>
            </w:pPr>
            <w:r>
              <w:rPr>
                <w:rFonts w:eastAsia="Times New Roman"/>
                <w:sz w:val="24"/>
              </w:rPr>
              <w:t>b.</w:t>
            </w:r>
            <w:r>
              <w:rPr>
                <w:sz w:val="24"/>
              </w:rPr>
              <w:t>投标人针对本项目应着重解决的重点、难点问题所提出的处理措施可行性程度（</w:t>
            </w:r>
            <w:r>
              <w:rPr>
                <w:sz w:val="24"/>
              </w:rPr>
              <w:t>5</w:t>
            </w:r>
            <w:r>
              <w:rPr>
                <w:sz w:val="24"/>
              </w:rPr>
              <w:t>分）：</w:t>
            </w:r>
          </w:p>
          <w:p w:rsidR="00F7563E" w:rsidRDefault="009361B9">
            <w:pPr>
              <w:widowControl/>
              <w:spacing w:line="380" w:lineRule="atLeast"/>
              <w:ind w:firstLineChars="200" w:firstLine="480"/>
              <w:rPr>
                <w:sz w:val="24"/>
              </w:rPr>
            </w:pPr>
            <w:r>
              <w:rPr>
                <w:sz w:val="24"/>
              </w:rPr>
              <w:t>处理措施有效可行，得</w:t>
            </w:r>
            <w:r>
              <w:rPr>
                <w:sz w:val="24"/>
              </w:rPr>
              <w:t>4~5</w:t>
            </w:r>
            <w:r>
              <w:rPr>
                <w:sz w:val="24"/>
              </w:rPr>
              <w:t>分；基本有效可行，得</w:t>
            </w:r>
            <w:r>
              <w:rPr>
                <w:sz w:val="24"/>
              </w:rPr>
              <w:t>3~4</w:t>
            </w:r>
            <w:r>
              <w:rPr>
                <w:sz w:val="24"/>
              </w:rPr>
              <w:t>分；可行性一般，得</w:t>
            </w:r>
            <w:r>
              <w:rPr>
                <w:sz w:val="24"/>
              </w:rPr>
              <w:t>3</w:t>
            </w:r>
            <w:r>
              <w:rPr>
                <w:sz w:val="24"/>
              </w:rPr>
              <w:t>分。</w:t>
            </w:r>
          </w:p>
        </w:tc>
      </w:tr>
      <w:tr w:rsidR="00F7563E">
        <w:tblPrEx>
          <w:tblBorders>
            <w:insideH w:val="single" w:sz="4" w:space="0" w:color="auto"/>
            <w:insideV w:val="single" w:sz="4" w:space="0" w:color="auto"/>
          </w:tblBorders>
        </w:tblPrEx>
        <w:tc>
          <w:tcPr>
            <w:tcW w:w="942" w:type="dxa"/>
            <w:vMerge/>
            <w:tcBorders>
              <w:top w:val="single" w:sz="4" w:space="0" w:color="auto"/>
              <w:left w:val="single" w:sz="4" w:space="0" w:color="auto"/>
              <w:bottom w:val="single" w:sz="4" w:space="0" w:color="auto"/>
              <w:right w:val="single" w:sz="4" w:space="0" w:color="auto"/>
            </w:tcBorders>
            <w:vAlign w:val="center"/>
          </w:tcPr>
          <w:p w:rsidR="00F7563E" w:rsidRDefault="00F7563E">
            <w:pPr>
              <w:widowControl/>
              <w:rPr>
                <w:rFonts w:eastAsia="Times New Roman"/>
                <w:sz w:val="24"/>
              </w:rPr>
            </w:pPr>
          </w:p>
        </w:tc>
        <w:tc>
          <w:tcPr>
            <w:tcW w:w="1311" w:type="dxa"/>
            <w:gridSpan w:val="2"/>
            <w:vMerge/>
            <w:tcBorders>
              <w:top w:val="single" w:sz="4" w:space="0" w:color="auto"/>
              <w:left w:val="single" w:sz="4" w:space="0" w:color="auto"/>
              <w:bottom w:val="single" w:sz="4" w:space="0" w:color="auto"/>
              <w:right w:val="single" w:sz="4" w:space="0" w:color="auto"/>
            </w:tcBorders>
            <w:vAlign w:val="center"/>
          </w:tcPr>
          <w:p w:rsidR="00F7563E" w:rsidRDefault="00F7563E">
            <w:pPr>
              <w:widowControl/>
              <w:rPr>
                <w:rFonts w:eastAsia="Times New Roman"/>
                <w:sz w:val="24"/>
              </w:rPr>
            </w:pPr>
          </w:p>
        </w:tc>
        <w:tc>
          <w:tcPr>
            <w:tcW w:w="872" w:type="dxa"/>
            <w:vMerge/>
            <w:tcBorders>
              <w:top w:val="single" w:sz="4" w:space="0" w:color="auto"/>
              <w:left w:val="single" w:sz="4" w:space="0" w:color="auto"/>
              <w:bottom w:val="single" w:sz="4" w:space="0" w:color="auto"/>
              <w:right w:val="single" w:sz="4" w:space="0" w:color="auto"/>
            </w:tcBorders>
            <w:vAlign w:val="center"/>
          </w:tcPr>
          <w:p w:rsidR="00F7563E" w:rsidRDefault="00F7563E">
            <w:pPr>
              <w:widowControl/>
              <w:rPr>
                <w:rFonts w:eastAsia="Times New Roman"/>
                <w:sz w:val="24"/>
                <w:u w:val="single"/>
              </w:rPr>
            </w:pPr>
          </w:p>
        </w:tc>
        <w:tc>
          <w:tcPr>
            <w:tcW w:w="123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对本工程的建议</w:t>
            </w:r>
          </w:p>
        </w:tc>
        <w:tc>
          <w:tcPr>
            <w:tcW w:w="769"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u w:val="single"/>
              </w:rPr>
              <w:t>5</w:t>
            </w:r>
            <w:r>
              <w:rPr>
                <w:sz w:val="24"/>
              </w:rPr>
              <w:t>分</w:t>
            </w:r>
          </w:p>
        </w:tc>
        <w:tc>
          <w:tcPr>
            <w:tcW w:w="368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ind w:firstLineChars="200" w:firstLine="480"/>
              <w:rPr>
                <w:rFonts w:eastAsia="Times New Roman"/>
                <w:sz w:val="24"/>
              </w:rPr>
            </w:pPr>
            <w:r>
              <w:rPr>
                <w:sz w:val="24"/>
              </w:rPr>
              <w:t>对投标人所提建议的合理可行性、可实施性、项目针对性进行评分，很好得</w:t>
            </w:r>
            <w:r>
              <w:rPr>
                <w:sz w:val="24"/>
              </w:rPr>
              <w:t>4~5</w:t>
            </w:r>
            <w:r>
              <w:rPr>
                <w:sz w:val="24"/>
              </w:rPr>
              <w:t>分，较好得</w:t>
            </w:r>
            <w:r>
              <w:rPr>
                <w:sz w:val="24"/>
              </w:rPr>
              <w:t>3~4</w:t>
            </w:r>
            <w:r>
              <w:rPr>
                <w:sz w:val="24"/>
              </w:rPr>
              <w:t>分，一般得</w:t>
            </w:r>
            <w:r>
              <w:rPr>
                <w:sz w:val="24"/>
              </w:rPr>
              <w:t>3</w:t>
            </w:r>
            <w:r>
              <w:rPr>
                <w:sz w:val="24"/>
              </w:rPr>
              <w:t>分。</w:t>
            </w:r>
          </w:p>
        </w:tc>
      </w:tr>
      <w:tr w:rsidR="00F7563E">
        <w:tblPrEx>
          <w:tblBorders>
            <w:insideH w:val="single" w:sz="4" w:space="0" w:color="auto"/>
            <w:insideV w:val="single" w:sz="4" w:space="0" w:color="auto"/>
          </w:tblBorders>
        </w:tblPrEx>
        <w:tc>
          <w:tcPr>
            <w:tcW w:w="94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60" w:lineRule="atLeast"/>
              <w:ind w:leftChars="-44" w:left="-150" w:rightChars="-42" w:right="-143"/>
              <w:jc w:val="center"/>
              <w:rPr>
                <w:rFonts w:eastAsia="Times New Roman"/>
                <w:sz w:val="24"/>
              </w:rPr>
            </w:pPr>
            <w:r>
              <w:rPr>
                <w:rFonts w:eastAsia="Times New Roman"/>
                <w:sz w:val="24"/>
              </w:rPr>
              <w:t>2.2.4(2)</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60" w:lineRule="atLeast"/>
              <w:jc w:val="center"/>
              <w:rPr>
                <w:rFonts w:eastAsia="Times New Roman"/>
                <w:sz w:val="24"/>
              </w:rPr>
            </w:pPr>
            <w:r>
              <w:rPr>
                <w:sz w:val="24"/>
              </w:rPr>
              <w:t>主要人员</w:t>
            </w:r>
          </w:p>
        </w:tc>
        <w:tc>
          <w:tcPr>
            <w:tcW w:w="87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right"/>
              <w:rPr>
                <w:rFonts w:eastAsia="Times New Roman"/>
                <w:sz w:val="24"/>
              </w:rPr>
            </w:pPr>
            <w:r>
              <w:rPr>
                <w:rFonts w:eastAsia="Times New Roman"/>
                <w:sz w:val="24"/>
                <w:u w:val="single"/>
              </w:rPr>
              <w:t>25</w:t>
            </w:r>
            <w:r>
              <w:rPr>
                <w:sz w:val="24"/>
              </w:rPr>
              <w:t>分</w:t>
            </w:r>
          </w:p>
        </w:tc>
        <w:tc>
          <w:tcPr>
            <w:tcW w:w="123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总监理工程师任职资格与业绩</w:t>
            </w:r>
          </w:p>
        </w:tc>
        <w:tc>
          <w:tcPr>
            <w:tcW w:w="769"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ind w:right="-88"/>
              <w:jc w:val="center"/>
              <w:rPr>
                <w:rFonts w:eastAsia="Times New Roman"/>
                <w:sz w:val="24"/>
              </w:rPr>
            </w:pPr>
            <w:r>
              <w:rPr>
                <w:rFonts w:eastAsia="Times New Roman"/>
                <w:sz w:val="24"/>
                <w:u w:val="single"/>
              </w:rPr>
              <w:t>25</w:t>
            </w:r>
            <w:r>
              <w:rPr>
                <w:sz w:val="24"/>
              </w:rPr>
              <w:t>分</w:t>
            </w:r>
          </w:p>
        </w:tc>
        <w:tc>
          <w:tcPr>
            <w:tcW w:w="368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rPr>
                <w:rFonts w:eastAsia="Times New Roman"/>
                <w:sz w:val="24"/>
              </w:rPr>
            </w:pPr>
            <w:r>
              <w:rPr>
                <w:rFonts w:eastAsia="Times New Roman"/>
                <w:sz w:val="24"/>
              </w:rPr>
              <w:t>(a)</w:t>
            </w:r>
            <w:r>
              <w:rPr>
                <w:sz w:val="24"/>
              </w:rPr>
              <w:t>满足资格条件的，得基本分</w:t>
            </w:r>
            <w:r>
              <w:rPr>
                <w:rFonts w:hint="eastAsia"/>
                <w:sz w:val="24"/>
              </w:rPr>
              <w:t>15</w:t>
            </w:r>
            <w:r>
              <w:rPr>
                <w:sz w:val="24"/>
              </w:rPr>
              <w:t>分；</w:t>
            </w:r>
          </w:p>
          <w:p w:rsidR="00F7563E" w:rsidRDefault="009361B9">
            <w:pPr>
              <w:widowControl/>
              <w:spacing w:line="380" w:lineRule="atLeast"/>
              <w:rPr>
                <w:sz w:val="24"/>
              </w:rPr>
            </w:pPr>
            <w:r>
              <w:rPr>
                <w:rFonts w:eastAsia="Times New Roman"/>
                <w:sz w:val="24"/>
              </w:rPr>
              <w:t>(b)</w:t>
            </w:r>
            <w:r>
              <w:rPr>
                <w:rFonts w:eastAsia="Times New Roman" w:hint="eastAsia"/>
                <w:sz w:val="24"/>
              </w:rPr>
              <w:t>在满足资格条件的基础上，每</w:t>
            </w:r>
            <w:r>
              <w:rPr>
                <w:rFonts w:hint="eastAsia"/>
                <w:sz w:val="24"/>
              </w:rPr>
              <w:t>增加一个满足资格审查要求的业</w:t>
            </w:r>
            <w:r>
              <w:rPr>
                <w:rFonts w:hint="eastAsia"/>
                <w:sz w:val="24"/>
              </w:rPr>
              <w:lastRenderedPageBreak/>
              <w:t>绩</w:t>
            </w:r>
            <w:r>
              <w:rPr>
                <w:rFonts w:eastAsia="Times New Roman" w:hint="eastAsia"/>
                <w:sz w:val="24"/>
              </w:rPr>
              <w:t>，加5分，最多加</w:t>
            </w:r>
            <w:r>
              <w:rPr>
                <w:rFonts w:hint="eastAsia"/>
                <w:sz w:val="24"/>
              </w:rPr>
              <w:t>10</w:t>
            </w:r>
            <w:r>
              <w:rPr>
                <w:rFonts w:eastAsia="Times New Roman" w:hint="eastAsia"/>
                <w:sz w:val="24"/>
              </w:rPr>
              <w:t>分。</w:t>
            </w:r>
            <w:r>
              <w:rPr>
                <w:rFonts w:hint="eastAsia"/>
                <w:sz w:val="24"/>
              </w:rPr>
              <w:t>（</w:t>
            </w:r>
            <w:r>
              <w:rPr>
                <w:rFonts w:hint="eastAsia"/>
                <w:sz w:val="24"/>
                <w:szCs w:val="24"/>
              </w:rPr>
              <w:t>附中标通知书（如有）、合同协议书和项目评定书（或质量评定书或委托人出具的其他证明材料）复印件作为证明文件</w:t>
            </w:r>
            <w:r>
              <w:rPr>
                <w:rFonts w:hint="eastAsia"/>
                <w:sz w:val="24"/>
              </w:rPr>
              <w:t>）</w:t>
            </w:r>
          </w:p>
        </w:tc>
      </w:tr>
      <w:tr w:rsidR="00F7563E">
        <w:tblPrEx>
          <w:tblBorders>
            <w:insideH w:val="single" w:sz="4" w:space="0" w:color="auto"/>
            <w:insideV w:val="single" w:sz="4" w:space="0" w:color="auto"/>
          </w:tblBorders>
        </w:tblPrEx>
        <w:tc>
          <w:tcPr>
            <w:tcW w:w="94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rPr>
              <w:lastRenderedPageBreak/>
              <w:t>2.2.4(3)</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评标价</w:t>
            </w:r>
          </w:p>
        </w:tc>
        <w:tc>
          <w:tcPr>
            <w:tcW w:w="87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right"/>
              <w:rPr>
                <w:rFonts w:eastAsia="Times New Roman"/>
                <w:sz w:val="24"/>
              </w:rPr>
            </w:pPr>
            <w:r>
              <w:rPr>
                <w:rFonts w:eastAsia="Times New Roman"/>
                <w:sz w:val="24"/>
                <w:u w:val="single"/>
              </w:rPr>
              <w:t>10</w:t>
            </w:r>
            <w:r>
              <w:rPr>
                <w:sz w:val="24"/>
              </w:rPr>
              <w:t>分</w:t>
            </w:r>
          </w:p>
        </w:tc>
        <w:tc>
          <w:tcPr>
            <w:tcW w:w="5691" w:type="dxa"/>
            <w:gridSpan w:val="3"/>
            <w:tcBorders>
              <w:top w:val="single" w:sz="4" w:space="0" w:color="auto"/>
              <w:left w:val="single" w:sz="4" w:space="0" w:color="auto"/>
              <w:bottom w:val="single" w:sz="4" w:space="0" w:color="auto"/>
              <w:right w:val="single" w:sz="4" w:space="0" w:color="auto"/>
            </w:tcBorders>
          </w:tcPr>
          <w:p w:rsidR="00F7563E" w:rsidRDefault="009361B9">
            <w:pPr>
              <w:widowControl/>
              <w:spacing w:line="380" w:lineRule="atLeast"/>
              <w:rPr>
                <w:rFonts w:eastAsia="Times New Roman"/>
                <w:sz w:val="24"/>
              </w:rPr>
            </w:pPr>
            <w:r>
              <w:rPr>
                <w:sz w:val="24"/>
              </w:rPr>
              <w:t>评标价得分计算公式：</w:t>
            </w:r>
          </w:p>
          <w:p w:rsidR="00F7563E" w:rsidRDefault="009361B9">
            <w:pPr>
              <w:widowControl/>
              <w:spacing w:line="380" w:lineRule="atLeast"/>
              <w:rPr>
                <w:rFonts w:eastAsia="Times New Roman"/>
                <w:sz w:val="24"/>
              </w:rPr>
            </w:pPr>
            <w:r>
              <w:rPr>
                <w:rFonts w:eastAsia="Times New Roman"/>
                <w:sz w:val="24"/>
              </w:rPr>
              <w:t>(1)</w:t>
            </w:r>
            <w:r>
              <w:rPr>
                <w:sz w:val="24"/>
              </w:rPr>
              <w:t>如果投标人的评标价</w:t>
            </w:r>
            <w:r>
              <w:rPr>
                <w:sz w:val="24"/>
              </w:rPr>
              <w:t>&gt;</w:t>
            </w:r>
            <w:r>
              <w:rPr>
                <w:sz w:val="24"/>
              </w:rPr>
              <w:t>评标基准价，则评标价得分＝</w:t>
            </w:r>
            <w:r>
              <w:rPr>
                <w:sz w:val="24"/>
              </w:rPr>
              <w:t>F</w:t>
            </w:r>
            <w:r>
              <w:rPr>
                <w:sz w:val="24"/>
              </w:rPr>
              <w:t>－偏差率</w:t>
            </w:r>
            <w:r>
              <w:rPr>
                <w:sz w:val="24"/>
              </w:rPr>
              <w:t>×100× E</w:t>
            </w:r>
            <w:r>
              <w:rPr>
                <w:rFonts w:eastAsia="Times New Roman"/>
                <w:sz w:val="24"/>
                <w:vertAlign w:val="subscript"/>
              </w:rPr>
              <w:t>1</w:t>
            </w:r>
            <w:r>
              <w:rPr>
                <w:sz w:val="24"/>
              </w:rPr>
              <w:t>；</w:t>
            </w:r>
          </w:p>
          <w:p w:rsidR="00F7563E" w:rsidRDefault="009361B9">
            <w:pPr>
              <w:widowControl/>
              <w:spacing w:line="380" w:lineRule="atLeast"/>
              <w:rPr>
                <w:rFonts w:eastAsia="Times New Roman"/>
                <w:sz w:val="24"/>
              </w:rPr>
            </w:pPr>
            <w:r>
              <w:rPr>
                <w:rFonts w:eastAsia="Times New Roman"/>
                <w:sz w:val="24"/>
              </w:rPr>
              <w:t>(2)</w:t>
            </w:r>
            <w:r>
              <w:rPr>
                <w:sz w:val="24"/>
              </w:rPr>
              <w:t>如果投标人的评标价</w:t>
            </w:r>
            <w:r>
              <w:rPr>
                <w:sz w:val="24"/>
              </w:rPr>
              <w:t>≤</w:t>
            </w:r>
            <w:r>
              <w:rPr>
                <w:sz w:val="24"/>
              </w:rPr>
              <w:t>评标基准价，则评标价得分＝</w:t>
            </w:r>
            <w:r>
              <w:rPr>
                <w:sz w:val="24"/>
              </w:rPr>
              <w:t>F</w:t>
            </w:r>
            <w:r>
              <w:rPr>
                <w:sz w:val="24"/>
              </w:rPr>
              <w:t>＋偏差率</w:t>
            </w:r>
            <w:r>
              <w:rPr>
                <w:sz w:val="24"/>
              </w:rPr>
              <w:t>× 100× E</w:t>
            </w:r>
            <w:r>
              <w:rPr>
                <w:rFonts w:eastAsia="Times New Roman"/>
                <w:sz w:val="24"/>
                <w:vertAlign w:val="subscript"/>
              </w:rPr>
              <w:t>2</w:t>
            </w:r>
            <w:r>
              <w:rPr>
                <w:sz w:val="24"/>
              </w:rPr>
              <w:t>。</w:t>
            </w:r>
          </w:p>
          <w:p w:rsidR="00F7563E" w:rsidRDefault="009361B9">
            <w:pPr>
              <w:widowControl/>
              <w:spacing w:line="380" w:lineRule="atLeast"/>
              <w:rPr>
                <w:rFonts w:eastAsia="Times New Roman"/>
                <w:sz w:val="24"/>
              </w:rPr>
            </w:pPr>
            <w:r>
              <w:rPr>
                <w:sz w:val="24"/>
              </w:rPr>
              <w:t>其中：</w:t>
            </w:r>
            <w:r>
              <w:rPr>
                <w:sz w:val="24"/>
              </w:rPr>
              <w:t>F</w:t>
            </w:r>
            <w:r>
              <w:rPr>
                <w:sz w:val="24"/>
              </w:rPr>
              <w:t>是评标价所占的权重分值，</w:t>
            </w:r>
            <w:r>
              <w:rPr>
                <w:sz w:val="24"/>
              </w:rPr>
              <w:t>E</w:t>
            </w:r>
            <w:r>
              <w:rPr>
                <w:rFonts w:eastAsia="Times New Roman"/>
                <w:sz w:val="24"/>
                <w:vertAlign w:val="subscript"/>
              </w:rPr>
              <w:t>1</w:t>
            </w:r>
            <w:r>
              <w:rPr>
                <w:sz w:val="24"/>
              </w:rPr>
              <w:t>是评标价每高于评标基准价一个百分点的扣分值，</w:t>
            </w:r>
            <w:r>
              <w:rPr>
                <w:sz w:val="24"/>
              </w:rPr>
              <w:t>E</w:t>
            </w:r>
            <w:r>
              <w:rPr>
                <w:rFonts w:eastAsia="Times New Roman"/>
                <w:sz w:val="24"/>
                <w:vertAlign w:val="subscript"/>
              </w:rPr>
              <w:t>2</w:t>
            </w:r>
            <w:r>
              <w:rPr>
                <w:sz w:val="24"/>
              </w:rPr>
              <w:t>是评标价每低于评标基准价一个百分点的扣分值；</w:t>
            </w:r>
          </w:p>
          <w:p w:rsidR="00F7563E" w:rsidRDefault="009361B9">
            <w:pPr>
              <w:widowControl/>
              <w:spacing w:line="380" w:lineRule="atLeast"/>
              <w:rPr>
                <w:rFonts w:eastAsia="Times New Roman"/>
                <w:sz w:val="24"/>
              </w:rPr>
            </w:pPr>
            <w:r>
              <w:rPr>
                <w:rFonts w:eastAsia="Times New Roman"/>
                <w:sz w:val="24"/>
              </w:rPr>
              <w:t>E1=0.</w:t>
            </w:r>
            <w:r>
              <w:rPr>
                <w:sz w:val="24"/>
              </w:rPr>
              <w:t>2</w:t>
            </w:r>
            <w:r>
              <w:rPr>
                <w:sz w:val="24"/>
              </w:rPr>
              <w:t>，</w:t>
            </w:r>
            <w:r>
              <w:rPr>
                <w:rFonts w:eastAsia="Times New Roman"/>
                <w:sz w:val="24"/>
              </w:rPr>
              <w:t>E2=0.</w:t>
            </w:r>
            <w:r>
              <w:rPr>
                <w:sz w:val="24"/>
              </w:rPr>
              <w:t>1</w:t>
            </w:r>
            <w:r>
              <w:rPr>
                <w:sz w:val="24"/>
              </w:rPr>
              <w:t>，</w:t>
            </w:r>
            <w:r>
              <w:rPr>
                <w:rFonts w:eastAsia="Times New Roman"/>
                <w:sz w:val="24"/>
              </w:rPr>
              <w:t>F=10</w:t>
            </w:r>
            <w:r>
              <w:rPr>
                <w:sz w:val="24"/>
              </w:rPr>
              <w:t>；评标价得分最低为</w:t>
            </w:r>
            <w:r>
              <w:rPr>
                <w:sz w:val="24"/>
              </w:rPr>
              <w:t>0</w:t>
            </w:r>
            <w:r>
              <w:rPr>
                <w:sz w:val="24"/>
              </w:rPr>
              <w:t>分。</w:t>
            </w:r>
          </w:p>
        </w:tc>
      </w:tr>
      <w:tr w:rsidR="00F7563E">
        <w:tblPrEx>
          <w:tblBorders>
            <w:insideH w:val="single" w:sz="4" w:space="0" w:color="auto"/>
            <w:insideV w:val="single" w:sz="4" w:space="0" w:color="auto"/>
          </w:tblBorders>
        </w:tblPrEx>
        <w:tc>
          <w:tcPr>
            <w:tcW w:w="94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b/>
                <w:sz w:val="24"/>
              </w:rPr>
            </w:pPr>
            <w:r>
              <w:rPr>
                <w:b/>
                <w:sz w:val="24"/>
              </w:rPr>
              <w:t>条款号</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b/>
                <w:sz w:val="24"/>
              </w:rPr>
            </w:pPr>
            <w:r>
              <w:rPr>
                <w:b/>
                <w:sz w:val="24"/>
              </w:rPr>
              <w:t>评分因素</w:t>
            </w:r>
          </w:p>
        </w:tc>
        <w:tc>
          <w:tcPr>
            <w:tcW w:w="87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ind w:leftChars="-50" w:left="-170" w:rightChars="-50" w:right="-170"/>
              <w:jc w:val="center"/>
              <w:rPr>
                <w:rFonts w:eastAsia="Times New Roman"/>
                <w:b/>
                <w:sz w:val="24"/>
              </w:rPr>
            </w:pPr>
            <w:r>
              <w:rPr>
                <w:b/>
                <w:sz w:val="24"/>
              </w:rPr>
              <w:t>评分因素权重分值</w:t>
            </w:r>
          </w:p>
        </w:tc>
        <w:tc>
          <w:tcPr>
            <w:tcW w:w="123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b/>
                <w:sz w:val="24"/>
              </w:rPr>
            </w:pPr>
            <w:r>
              <w:rPr>
                <w:b/>
                <w:sz w:val="24"/>
              </w:rPr>
              <w:t>各评分因素细分项</w:t>
            </w:r>
          </w:p>
        </w:tc>
        <w:tc>
          <w:tcPr>
            <w:tcW w:w="769"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b/>
                <w:sz w:val="24"/>
              </w:rPr>
            </w:pPr>
            <w:r>
              <w:rPr>
                <w:b/>
                <w:sz w:val="24"/>
              </w:rPr>
              <w:t>分值</w:t>
            </w:r>
          </w:p>
        </w:tc>
        <w:tc>
          <w:tcPr>
            <w:tcW w:w="368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b/>
                <w:sz w:val="24"/>
              </w:rPr>
              <w:t>评分标准</w:t>
            </w:r>
          </w:p>
        </w:tc>
      </w:tr>
      <w:tr w:rsidR="00F7563E">
        <w:tblPrEx>
          <w:tblBorders>
            <w:insideH w:val="single" w:sz="4" w:space="0" w:color="auto"/>
            <w:insideV w:val="single" w:sz="4" w:space="0" w:color="auto"/>
          </w:tblBorders>
        </w:tblPrEx>
        <w:tc>
          <w:tcPr>
            <w:tcW w:w="942" w:type="dxa"/>
            <w:vMerge w:val="restart"/>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rPr>
              <w:t>2.2.4(4)</w:t>
            </w: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其他因素</w:t>
            </w:r>
          </w:p>
        </w:tc>
        <w:tc>
          <w:tcPr>
            <w:tcW w:w="65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技术</w:t>
            </w:r>
          </w:p>
          <w:p w:rsidR="00F7563E" w:rsidRDefault="009361B9">
            <w:pPr>
              <w:widowControl/>
              <w:spacing w:line="380" w:lineRule="atLeast"/>
              <w:jc w:val="center"/>
              <w:rPr>
                <w:rFonts w:eastAsia="Times New Roman"/>
                <w:sz w:val="24"/>
              </w:rPr>
            </w:pPr>
            <w:r>
              <w:rPr>
                <w:sz w:val="24"/>
              </w:rPr>
              <w:t>能力</w:t>
            </w:r>
          </w:p>
        </w:tc>
        <w:tc>
          <w:tcPr>
            <w:tcW w:w="87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u w:val="single"/>
              </w:rPr>
              <w:t>5</w:t>
            </w:r>
            <w:r>
              <w:rPr>
                <w:sz w:val="24"/>
              </w:rPr>
              <w:t>分</w:t>
            </w:r>
          </w:p>
        </w:tc>
        <w:tc>
          <w:tcPr>
            <w:tcW w:w="123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技术能力</w:t>
            </w:r>
          </w:p>
        </w:tc>
        <w:tc>
          <w:tcPr>
            <w:tcW w:w="769"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u w:val="single"/>
              </w:rPr>
              <w:t>5</w:t>
            </w:r>
            <w:r>
              <w:rPr>
                <w:sz w:val="24"/>
              </w:rPr>
              <w:t>分</w:t>
            </w:r>
          </w:p>
        </w:tc>
        <w:tc>
          <w:tcPr>
            <w:tcW w:w="368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rPr>
                <w:rFonts w:eastAsia="Times New Roman"/>
                <w:sz w:val="24"/>
              </w:rPr>
            </w:pPr>
            <w:r>
              <w:rPr>
                <w:rFonts w:hint="eastAsia"/>
                <w:sz w:val="24"/>
              </w:rPr>
              <w:t>投标人满足资格审查条件，施工组织设计方案满足工程基本要求，得</w:t>
            </w:r>
            <w:r>
              <w:rPr>
                <w:rFonts w:hint="eastAsia"/>
                <w:sz w:val="24"/>
              </w:rPr>
              <w:t>5</w:t>
            </w:r>
            <w:r>
              <w:rPr>
                <w:rFonts w:hint="eastAsia"/>
                <w:sz w:val="24"/>
              </w:rPr>
              <w:t>分</w:t>
            </w:r>
            <w:r>
              <w:rPr>
                <w:sz w:val="24"/>
              </w:rPr>
              <w:t>。</w:t>
            </w:r>
          </w:p>
        </w:tc>
      </w:tr>
      <w:tr w:rsidR="00F7563E">
        <w:tblPrEx>
          <w:tblBorders>
            <w:insideH w:val="single" w:sz="4" w:space="0" w:color="auto"/>
            <w:insideV w:val="single" w:sz="4" w:space="0" w:color="auto"/>
          </w:tblBorders>
        </w:tblPrEx>
        <w:tc>
          <w:tcPr>
            <w:tcW w:w="942" w:type="dxa"/>
            <w:vMerge/>
            <w:tcBorders>
              <w:top w:val="single" w:sz="4" w:space="0" w:color="auto"/>
              <w:left w:val="single" w:sz="4" w:space="0" w:color="auto"/>
              <w:bottom w:val="single" w:sz="4" w:space="0" w:color="auto"/>
              <w:right w:val="single" w:sz="4" w:space="0" w:color="auto"/>
            </w:tcBorders>
            <w:vAlign w:val="center"/>
          </w:tcPr>
          <w:p w:rsidR="00F7563E" w:rsidRDefault="00F7563E">
            <w:pPr>
              <w:widowControl/>
              <w:rPr>
                <w:rFonts w:eastAsia="Times New Roman"/>
                <w:sz w:val="24"/>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F7563E" w:rsidRDefault="00F7563E">
            <w:pPr>
              <w:widowControl/>
              <w:rPr>
                <w:rFonts w:eastAsia="Times New Roman"/>
                <w:sz w:val="24"/>
              </w:rPr>
            </w:pPr>
          </w:p>
        </w:tc>
        <w:tc>
          <w:tcPr>
            <w:tcW w:w="65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业绩</w:t>
            </w:r>
          </w:p>
        </w:tc>
        <w:tc>
          <w:tcPr>
            <w:tcW w:w="87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right"/>
              <w:rPr>
                <w:rFonts w:eastAsia="Times New Roman"/>
                <w:sz w:val="24"/>
              </w:rPr>
            </w:pPr>
            <w:r>
              <w:rPr>
                <w:rFonts w:eastAsia="Times New Roman"/>
                <w:sz w:val="24"/>
                <w:u w:val="single"/>
              </w:rPr>
              <w:t>20</w:t>
            </w:r>
            <w:r>
              <w:rPr>
                <w:sz w:val="24"/>
              </w:rPr>
              <w:t>分</w:t>
            </w:r>
          </w:p>
        </w:tc>
        <w:tc>
          <w:tcPr>
            <w:tcW w:w="123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业绩</w:t>
            </w:r>
          </w:p>
        </w:tc>
        <w:tc>
          <w:tcPr>
            <w:tcW w:w="769"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rPr>
                <w:rFonts w:eastAsia="Times New Roman"/>
                <w:sz w:val="24"/>
              </w:rPr>
            </w:pPr>
            <w:r>
              <w:rPr>
                <w:rFonts w:eastAsia="Times New Roman"/>
                <w:sz w:val="24"/>
                <w:u w:val="single"/>
              </w:rPr>
              <w:t>20</w:t>
            </w:r>
            <w:r>
              <w:rPr>
                <w:sz w:val="24"/>
              </w:rPr>
              <w:t>分</w:t>
            </w:r>
          </w:p>
        </w:tc>
        <w:tc>
          <w:tcPr>
            <w:tcW w:w="3686" w:type="dxa"/>
            <w:tcBorders>
              <w:top w:val="single" w:sz="4" w:space="0" w:color="auto"/>
              <w:left w:val="single" w:sz="4" w:space="0" w:color="auto"/>
              <w:bottom w:val="single" w:sz="4" w:space="0" w:color="auto"/>
              <w:right w:val="single" w:sz="4" w:space="0" w:color="auto"/>
            </w:tcBorders>
          </w:tcPr>
          <w:p w:rsidR="00F7563E" w:rsidRDefault="009361B9">
            <w:pPr>
              <w:widowControl/>
              <w:spacing w:line="380" w:lineRule="atLeast"/>
              <w:rPr>
                <w:rFonts w:eastAsia="Times New Roman"/>
                <w:sz w:val="24"/>
              </w:rPr>
            </w:pPr>
            <w:r>
              <w:rPr>
                <w:rFonts w:eastAsia="Times New Roman"/>
                <w:sz w:val="24"/>
              </w:rPr>
              <w:t xml:space="preserve">(a) </w:t>
            </w:r>
            <w:r>
              <w:rPr>
                <w:sz w:val="24"/>
              </w:rPr>
              <w:t>满足资格审查业绩要求的得</w:t>
            </w:r>
            <w:r>
              <w:rPr>
                <w:sz w:val="24"/>
              </w:rPr>
              <w:t>12</w:t>
            </w:r>
            <w:r>
              <w:rPr>
                <w:sz w:val="24"/>
              </w:rPr>
              <w:t>分；</w:t>
            </w:r>
          </w:p>
          <w:p w:rsidR="00F7563E" w:rsidRDefault="009361B9">
            <w:pPr>
              <w:widowControl/>
              <w:spacing w:line="380" w:lineRule="atLeast"/>
              <w:rPr>
                <w:rFonts w:eastAsia="Times New Roman"/>
                <w:sz w:val="24"/>
              </w:rPr>
            </w:pPr>
            <w:r>
              <w:rPr>
                <w:rFonts w:eastAsia="Times New Roman"/>
                <w:sz w:val="24"/>
              </w:rPr>
              <w:t xml:space="preserve">(b) </w:t>
            </w:r>
            <w:r>
              <w:rPr>
                <w:rFonts w:eastAsia="Times New Roman" w:hint="eastAsia"/>
                <w:sz w:val="24"/>
              </w:rPr>
              <w:t>在满足资格审查标准的基础上，每增加一项满足资格审查标准的二级及以上新建或改扩建公路工程（同时包含路基、沥青混凝土路面）施工监理业绩加4分，最高加4分；</w:t>
            </w:r>
          </w:p>
          <w:p w:rsidR="00F7563E" w:rsidRDefault="009361B9">
            <w:pPr>
              <w:widowControl/>
              <w:spacing w:line="380" w:lineRule="atLeast"/>
              <w:rPr>
                <w:sz w:val="24"/>
              </w:rPr>
            </w:pPr>
            <w:r>
              <w:rPr>
                <w:rFonts w:eastAsia="Times New Roman" w:hint="eastAsia"/>
                <w:sz w:val="24"/>
              </w:rPr>
              <w:t>(c) 在满足资格审查标准的基础上，每增加一项满足资格审查标准的二级及以上公路工程路面大修（或中修或专项养护）工程施工监理业绩加4分，最高加4分</w:t>
            </w:r>
            <w:r>
              <w:rPr>
                <w:sz w:val="24"/>
              </w:rPr>
              <w:t>。</w:t>
            </w:r>
          </w:p>
        </w:tc>
      </w:tr>
      <w:tr w:rsidR="00F7563E">
        <w:tblPrEx>
          <w:tblBorders>
            <w:insideH w:val="single" w:sz="4" w:space="0" w:color="auto"/>
            <w:insideV w:val="single" w:sz="4" w:space="0" w:color="auto"/>
          </w:tblBorders>
        </w:tblPrEx>
        <w:tc>
          <w:tcPr>
            <w:tcW w:w="94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rFonts w:eastAsia="Times New Roman"/>
                <w:sz w:val="24"/>
              </w:rPr>
              <w:lastRenderedPageBreak/>
              <w:t>2.2.4(4)</w:t>
            </w:r>
          </w:p>
        </w:tc>
        <w:tc>
          <w:tcPr>
            <w:tcW w:w="659"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其他因素</w:t>
            </w:r>
          </w:p>
        </w:tc>
        <w:tc>
          <w:tcPr>
            <w:tcW w:w="65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ind w:leftChars="-50" w:left="-170" w:rightChars="-50" w:right="-170"/>
              <w:jc w:val="center"/>
              <w:rPr>
                <w:rFonts w:eastAsia="Times New Roman"/>
                <w:sz w:val="24"/>
              </w:rPr>
            </w:pPr>
            <w:r>
              <w:rPr>
                <w:sz w:val="24"/>
              </w:rPr>
              <w:t>履约信誉</w:t>
            </w:r>
          </w:p>
        </w:tc>
        <w:tc>
          <w:tcPr>
            <w:tcW w:w="872"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right"/>
              <w:rPr>
                <w:rFonts w:eastAsia="Times New Roman"/>
                <w:sz w:val="24"/>
              </w:rPr>
            </w:pPr>
            <w:r>
              <w:rPr>
                <w:sz w:val="24"/>
                <w:u w:val="single"/>
              </w:rPr>
              <w:t>5</w:t>
            </w:r>
            <w:r>
              <w:rPr>
                <w:sz w:val="24"/>
              </w:rPr>
              <w:t>分</w:t>
            </w:r>
          </w:p>
        </w:tc>
        <w:tc>
          <w:tcPr>
            <w:tcW w:w="1236"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jc w:val="center"/>
              <w:rPr>
                <w:rFonts w:eastAsia="Times New Roman"/>
                <w:sz w:val="24"/>
              </w:rPr>
            </w:pPr>
            <w:r>
              <w:rPr>
                <w:sz w:val="24"/>
              </w:rPr>
              <w:t>履约信誉</w:t>
            </w:r>
          </w:p>
        </w:tc>
        <w:tc>
          <w:tcPr>
            <w:tcW w:w="769" w:type="dxa"/>
            <w:tcBorders>
              <w:top w:val="single" w:sz="4" w:space="0" w:color="auto"/>
              <w:left w:val="single" w:sz="4" w:space="0" w:color="auto"/>
              <w:bottom w:val="single" w:sz="4" w:space="0" w:color="auto"/>
              <w:right w:val="single" w:sz="4" w:space="0" w:color="auto"/>
            </w:tcBorders>
            <w:vAlign w:val="center"/>
          </w:tcPr>
          <w:p w:rsidR="00F7563E" w:rsidRDefault="009361B9">
            <w:pPr>
              <w:widowControl/>
              <w:spacing w:line="380" w:lineRule="atLeast"/>
              <w:rPr>
                <w:rFonts w:eastAsia="Times New Roman"/>
                <w:sz w:val="24"/>
              </w:rPr>
            </w:pPr>
            <w:r>
              <w:rPr>
                <w:sz w:val="24"/>
                <w:u w:val="single"/>
              </w:rPr>
              <w:t>5</w:t>
            </w:r>
            <w:r>
              <w:rPr>
                <w:sz w:val="24"/>
              </w:rPr>
              <w:t>分</w:t>
            </w:r>
          </w:p>
        </w:tc>
        <w:tc>
          <w:tcPr>
            <w:tcW w:w="3686" w:type="dxa"/>
            <w:tcBorders>
              <w:top w:val="single" w:sz="4" w:space="0" w:color="auto"/>
              <w:left w:val="single" w:sz="4" w:space="0" w:color="auto"/>
              <w:bottom w:val="single" w:sz="4" w:space="0" w:color="auto"/>
              <w:right w:val="single" w:sz="4" w:space="0" w:color="auto"/>
            </w:tcBorders>
          </w:tcPr>
          <w:p w:rsidR="00F7563E" w:rsidRDefault="009361B9">
            <w:pPr>
              <w:widowControl/>
              <w:spacing w:line="400" w:lineRule="exact"/>
              <w:rPr>
                <w:sz w:val="24"/>
              </w:rPr>
            </w:pPr>
            <w:r>
              <w:rPr>
                <w:rFonts w:hint="eastAsia"/>
                <w:sz w:val="24"/>
              </w:rPr>
              <w:t>交通运输部发布</w:t>
            </w:r>
            <w:r>
              <w:rPr>
                <w:rFonts w:hint="eastAsia"/>
                <w:sz w:val="24"/>
              </w:rPr>
              <w:t>2019</w:t>
            </w:r>
            <w:r>
              <w:rPr>
                <w:rFonts w:hint="eastAsia"/>
                <w:sz w:val="24"/>
              </w:rPr>
              <w:t>年度公路监理企业全国综合信用评价结果或陕西省</w:t>
            </w:r>
            <w:r>
              <w:rPr>
                <w:rFonts w:hint="eastAsia"/>
                <w:sz w:val="24"/>
              </w:rPr>
              <w:t>2019</w:t>
            </w:r>
            <w:r>
              <w:rPr>
                <w:rFonts w:hint="eastAsia"/>
                <w:sz w:val="24"/>
              </w:rPr>
              <w:t>年度高速公路从业企业信用评价结果，</w:t>
            </w:r>
            <w:r>
              <w:rPr>
                <w:rFonts w:hint="eastAsia"/>
                <w:sz w:val="24"/>
              </w:rPr>
              <w:t>2019</w:t>
            </w:r>
            <w:r>
              <w:rPr>
                <w:rFonts w:hint="eastAsia"/>
                <w:sz w:val="24"/>
              </w:rPr>
              <w:t>年度评为“</w:t>
            </w:r>
            <w:r>
              <w:rPr>
                <w:rFonts w:hint="eastAsia"/>
                <w:sz w:val="24"/>
              </w:rPr>
              <w:t>AA</w:t>
            </w:r>
            <w:r>
              <w:rPr>
                <w:rFonts w:hint="eastAsia"/>
                <w:sz w:val="24"/>
              </w:rPr>
              <w:t>”或“</w:t>
            </w:r>
            <w:r>
              <w:rPr>
                <w:rFonts w:hint="eastAsia"/>
                <w:sz w:val="24"/>
              </w:rPr>
              <w:t>A</w:t>
            </w:r>
            <w:r>
              <w:rPr>
                <w:rFonts w:hint="eastAsia"/>
                <w:sz w:val="24"/>
              </w:rPr>
              <w:t>”得</w:t>
            </w:r>
            <w:r>
              <w:rPr>
                <w:rFonts w:hint="eastAsia"/>
                <w:sz w:val="24"/>
              </w:rPr>
              <w:t>5</w:t>
            </w:r>
            <w:r>
              <w:rPr>
                <w:rFonts w:hint="eastAsia"/>
                <w:sz w:val="24"/>
              </w:rPr>
              <w:t>分，评为“</w:t>
            </w:r>
            <w:r>
              <w:rPr>
                <w:rFonts w:hint="eastAsia"/>
                <w:sz w:val="24"/>
              </w:rPr>
              <w:t>B</w:t>
            </w:r>
            <w:r>
              <w:rPr>
                <w:rFonts w:hint="eastAsia"/>
                <w:sz w:val="24"/>
              </w:rPr>
              <w:t>”得</w:t>
            </w:r>
            <w:r>
              <w:rPr>
                <w:rFonts w:hint="eastAsia"/>
                <w:sz w:val="24"/>
              </w:rPr>
              <w:t>4</w:t>
            </w:r>
            <w:r>
              <w:rPr>
                <w:rFonts w:hint="eastAsia"/>
                <w:sz w:val="24"/>
              </w:rPr>
              <w:t>分，评为“</w:t>
            </w:r>
            <w:r>
              <w:rPr>
                <w:rFonts w:hint="eastAsia"/>
                <w:sz w:val="24"/>
              </w:rPr>
              <w:t>C</w:t>
            </w:r>
            <w:r>
              <w:rPr>
                <w:rFonts w:hint="eastAsia"/>
                <w:sz w:val="24"/>
              </w:rPr>
              <w:t>”得</w:t>
            </w:r>
            <w:r>
              <w:rPr>
                <w:rFonts w:hint="eastAsia"/>
                <w:sz w:val="24"/>
              </w:rPr>
              <w:t>3</w:t>
            </w:r>
            <w:r>
              <w:rPr>
                <w:rFonts w:hint="eastAsia"/>
                <w:sz w:val="24"/>
              </w:rPr>
              <w:t>分（本项如陕西省评价结果与交通运输部评价结果不同，按信用等级较高的为准）。</w:t>
            </w:r>
          </w:p>
          <w:p w:rsidR="00F7563E" w:rsidRDefault="009361B9">
            <w:pPr>
              <w:widowControl/>
              <w:spacing w:line="400" w:lineRule="exact"/>
            </w:pPr>
            <w:r>
              <w:rPr>
                <w:rFonts w:hint="eastAsia"/>
                <w:kern w:val="2"/>
                <w:sz w:val="24"/>
                <w:szCs w:val="24"/>
              </w:rPr>
              <w:t>2019</w:t>
            </w:r>
            <w:r>
              <w:rPr>
                <w:rFonts w:hint="eastAsia"/>
                <w:kern w:val="2"/>
                <w:sz w:val="24"/>
                <w:szCs w:val="24"/>
              </w:rPr>
              <w:t>年度</w:t>
            </w:r>
            <w:r>
              <w:rPr>
                <w:kern w:val="2"/>
                <w:sz w:val="24"/>
                <w:szCs w:val="24"/>
              </w:rPr>
              <w:t>无</w:t>
            </w:r>
            <w:r>
              <w:rPr>
                <w:rFonts w:hint="eastAsia"/>
                <w:kern w:val="2"/>
                <w:sz w:val="24"/>
                <w:szCs w:val="24"/>
              </w:rPr>
              <w:t>信用</w:t>
            </w:r>
            <w:r>
              <w:rPr>
                <w:kern w:val="2"/>
                <w:sz w:val="24"/>
                <w:szCs w:val="24"/>
              </w:rPr>
              <w:t>评价</w:t>
            </w:r>
            <w:r>
              <w:rPr>
                <w:rFonts w:hint="eastAsia"/>
                <w:kern w:val="2"/>
                <w:sz w:val="24"/>
                <w:szCs w:val="24"/>
              </w:rPr>
              <w:t>结果</w:t>
            </w:r>
            <w:r>
              <w:rPr>
                <w:kern w:val="2"/>
                <w:sz w:val="24"/>
                <w:szCs w:val="24"/>
              </w:rPr>
              <w:t>的投标人，</w:t>
            </w:r>
            <w:r>
              <w:rPr>
                <w:rFonts w:hint="eastAsia"/>
                <w:kern w:val="2"/>
                <w:sz w:val="24"/>
                <w:szCs w:val="24"/>
              </w:rPr>
              <w:t>可按</w:t>
            </w:r>
            <w:r>
              <w:rPr>
                <w:rFonts w:hint="eastAsia"/>
                <w:kern w:val="2"/>
                <w:sz w:val="24"/>
                <w:szCs w:val="24"/>
              </w:rPr>
              <w:t>2018</w:t>
            </w:r>
            <w:r>
              <w:rPr>
                <w:rFonts w:hint="eastAsia"/>
                <w:kern w:val="2"/>
                <w:sz w:val="24"/>
                <w:szCs w:val="24"/>
              </w:rPr>
              <w:t>年度信用评价结果认定。若</w:t>
            </w:r>
            <w:r>
              <w:rPr>
                <w:rFonts w:hint="eastAsia"/>
                <w:kern w:val="2"/>
                <w:sz w:val="24"/>
                <w:szCs w:val="24"/>
              </w:rPr>
              <w:t>2018</w:t>
            </w:r>
            <w:r>
              <w:rPr>
                <w:rFonts w:hint="eastAsia"/>
                <w:kern w:val="2"/>
                <w:sz w:val="24"/>
                <w:szCs w:val="24"/>
              </w:rPr>
              <w:t>年度也无信用评价结果的，</w:t>
            </w:r>
            <w:r>
              <w:rPr>
                <w:kern w:val="2"/>
                <w:sz w:val="24"/>
                <w:szCs w:val="24"/>
              </w:rPr>
              <w:t>若无不良信用记录，可按</w:t>
            </w:r>
            <w:r>
              <w:rPr>
                <w:kern w:val="2"/>
                <w:sz w:val="24"/>
                <w:szCs w:val="24"/>
              </w:rPr>
              <w:t>A</w:t>
            </w:r>
            <w:r>
              <w:rPr>
                <w:kern w:val="2"/>
                <w:sz w:val="24"/>
                <w:szCs w:val="24"/>
              </w:rPr>
              <w:t>级对待。若有不良信用记录，视其严重程度按</w:t>
            </w:r>
            <w:r>
              <w:rPr>
                <w:kern w:val="2"/>
                <w:sz w:val="24"/>
                <w:szCs w:val="24"/>
              </w:rPr>
              <w:t>B</w:t>
            </w:r>
            <w:r>
              <w:rPr>
                <w:kern w:val="2"/>
                <w:sz w:val="24"/>
                <w:szCs w:val="24"/>
              </w:rPr>
              <w:t>级及以下对待</w:t>
            </w:r>
            <w:r>
              <w:rPr>
                <w:rFonts w:hint="eastAsia"/>
                <w:sz w:val="24"/>
              </w:rPr>
              <w:t>。</w:t>
            </w:r>
          </w:p>
        </w:tc>
      </w:tr>
      <w:tr w:rsidR="00F7563E">
        <w:tblPrEx>
          <w:tblBorders>
            <w:insideH w:val="single" w:sz="4" w:space="0" w:color="auto"/>
            <w:insideV w:val="single" w:sz="4" w:space="0" w:color="auto"/>
          </w:tblBorders>
        </w:tblPrEx>
        <w:tc>
          <w:tcPr>
            <w:tcW w:w="8816" w:type="dxa"/>
            <w:gridSpan w:val="7"/>
            <w:tcBorders>
              <w:top w:val="single" w:sz="4" w:space="0" w:color="auto"/>
              <w:left w:val="single" w:sz="4" w:space="0" w:color="auto"/>
              <w:bottom w:val="single" w:sz="4" w:space="0" w:color="auto"/>
              <w:right w:val="single" w:sz="4" w:space="0" w:color="auto"/>
            </w:tcBorders>
          </w:tcPr>
          <w:p w:rsidR="00F7563E" w:rsidRDefault="009361B9">
            <w:pPr>
              <w:widowControl/>
              <w:spacing w:line="400" w:lineRule="exact"/>
              <w:ind w:firstLineChars="200" w:firstLine="480"/>
              <w:rPr>
                <w:rFonts w:eastAsia="Times New Roman"/>
                <w:sz w:val="24"/>
              </w:rPr>
            </w:pPr>
            <w:r>
              <w:rPr>
                <w:sz w:val="24"/>
              </w:rPr>
              <w:t>需要补充的其他内容：</w:t>
            </w:r>
          </w:p>
          <w:p w:rsidR="00F7563E" w:rsidRDefault="009361B9">
            <w:pPr>
              <w:spacing w:line="400" w:lineRule="exact"/>
              <w:rPr>
                <w:rFonts w:eastAsia="Times New Roman"/>
                <w:sz w:val="24"/>
              </w:rPr>
            </w:pPr>
            <w:r>
              <w:rPr>
                <w:sz w:val="24"/>
              </w:rPr>
              <w:t xml:space="preserve">    </w:t>
            </w:r>
            <w:r>
              <w:rPr>
                <w:sz w:val="24"/>
              </w:rPr>
              <w:t>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bl>
    <w:p w:rsidR="00F7563E" w:rsidRDefault="009361B9">
      <w:r>
        <w:rPr>
          <w:rFonts w:ascii="宋体" w:hAnsi="宋体" w:cs="宋体" w:hint="eastAsia"/>
          <w:sz w:val="21"/>
          <w:szCs w:val="21"/>
          <w:shd w:val="clear" w:color="auto" w:fill="FFFFFF"/>
        </w:rPr>
        <w:t>评标办法正文详见《公路工程标准施工监理招标文件（</w:t>
      </w:r>
      <w:r>
        <w:rPr>
          <w:rFonts w:ascii="Arial" w:hAnsi="Arial" w:cs="Arial"/>
          <w:sz w:val="21"/>
          <w:szCs w:val="21"/>
          <w:shd w:val="clear" w:color="auto" w:fill="FFFFFF"/>
        </w:rPr>
        <w:t>2018</w:t>
      </w:r>
      <w:r>
        <w:rPr>
          <w:rFonts w:ascii="宋体" w:hAnsi="宋体" w:cs="宋体" w:hint="eastAsia"/>
          <w:sz w:val="21"/>
          <w:szCs w:val="21"/>
          <w:shd w:val="clear" w:color="auto" w:fill="FFFFFF"/>
        </w:rPr>
        <w:t>年版）》（交通运输部公告</w:t>
      </w:r>
      <w:r>
        <w:rPr>
          <w:rFonts w:ascii="Arial" w:hAnsi="Arial" w:cs="Arial"/>
          <w:sz w:val="21"/>
          <w:szCs w:val="21"/>
          <w:shd w:val="clear" w:color="auto" w:fill="FFFFFF"/>
        </w:rPr>
        <w:t>2018</w:t>
      </w:r>
      <w:r>
        <w:rPr>
          <w:rFonts w:ascii="宋体" w:hAnsi="宋体" w:cs="宋体" w:hint="eastAsia"/>
          <w:sz w:val="21"/>
          <w:szCs w:val="21"/>
          <w:shd w:val="clear" w:color="auto" w:fill="FFFFFF"/>
        </w:rPr>
        <w:t>年第</w:t>
      </w:r>
      <w:r>
        <w:rPr>
          <w:rFonts w:ascii="Arial" w:hAnsi="Arial" w:cs="Arial"/>
          <w:sz w:val="21"/>
          <w:szCs w:val="21"/>
          <w:shd w:val="clear" w:color="auto" w:fill="FFFFFF"/>
        </w:rPr>
        <w:t>25</w:t>
      </w:r>
      <w:r>
        <w:rPr>
          <w:rFonts w:ascii="宋体" w:hAnsi="宋体" w:cs="宋体" w:hint="eastAsia"/>
          <w:sz w:val="21"/>
          <w:szCs w:val="21"/>
          <w:shd w:val="clear" w:color="auto" w:fill="FFFFFF"/>
        </w:rPr>
        <w:t>号）第三章 评标办法（综合评估法）正文部分。</w:t>
      </w:r>
    </w:p>
    <w:sectPr w:rsidR="00F7563E" w:rsidSect="00F756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D69" w:rsidRDefault="00A26D69" w:rsidP="00F7563E">
      <w:pPr>
        <w:spacing w:line="240" w:lineRule="auto"/>
      </w:pPr>
      <w:r>
        <w:separator/>
      </w:r>
    </w:p>
  </w:endnote>
  <w:endnote w:type="continuationSeparator" w:id="0">
    <w:p w:rsidR="00A26D69" w:rsidRDefault="00A26D69" w:rsidP="00F756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D69" w:rsidRDefault="00A26D69" w:rsidP="00F7563E">
      <w:pPr>
        <w:spacing w:line="240" w:lineRule="auto"/>
      </w:pPr>
      <w:r>
        <w:separator/>
      </w:r>
    </w:p>
  </w:footnote>
  <w:footnote w:type="continuationSeparator" w:id="0">
    <w:p w:rsidR="00A26D69" w:rsidRDefault="00A26D69" w:rsidP="00F7563E">
      <w:pPr>
        <w:spacing w:line="240" w:lineRule="auto"/>
      </w:pPr>
      <w:r>
        <w:continuationSeparator/>
      </w:r>
    </w:p>
  </w:footnote>
  <w:footnote w:id="1">
    <w:p w:rsidR="00F7563E" w:rsidRDefault="009361B9">
      <w:pPr>
        <w:snapToGrid w:val="0"/>
        <w:spacing w:line="300" w:lineRule="atLeast"/>
        <w:ind w:left="180" w:hangingChars="100" w:hanging="180"/>
      </w:pPr>
      <w:r>
        <w:rPr>
          <w:sz w:val="18"/>
          <w:vertAlign w:val="superscript"/>
        </w:rPr>
        <w:footnoteRef/>
      </w:r>
      <w:r>
        <w:rPr>
          <w:rFonts w:hint="eastAsia"/>
          <w:sz w:val="18"/>
        </w:rPr>
        <w:t>各评分因素（评标价和履约信誉评分项除外）得分一般不得低于其权重分值的</w:t>
      </w:r>
      <w:r>
        <w:rPr>
          <w:rFonts w:eastAsia="Times New Roman" w:hint="eastAsia"/>
          <w:sz w:val="18"/>
        </w:rPr>
        <w:t>60%</w:t>
      </w:r>
      <w:r>
        <w:rPr>
          <w:rFonts w:hint="eastAsia"/>
          <w:sz w:val="18"/>
        </w:rPr>
        <w:t>，且各评分因素得分应以评标委员会各成员的打分平均值确定，评标委员会成员总数为</w:t>
      </w:r>
      <w:r>
        <w:rPr>
          <w:rFonts w:eastAsia="Times New Roman" w:hint="eastAsia"/>
          <w:sz w:val="18"/>
        </w:rPr>
        <w:t>7</w:t>
      </w:r>
      <w:r>
        <w:rPr>
          <w:rFonts w:hint="eastAsia"/>
          <w:sz w:val="18"/>
        </w:rPr>
        <w:t>人及以上时，该平均值以去掉一个最高分和一个最低分后计算。评标委员会成员对某一项评分因素的评分低于权重分值</w:t>
      </w:r>
      <w:r>
        <w:rPr>
          <w:rFonts w:eastAsia="Times New Roman" w:hint="eastAsia"/>
          <w:sz w:val="18"/>
        </w:rPr>
        <w:t>60%</w:t>
      </w:r>
      <w:r>
        <w:rPr>
          <w:rFonts w:hint="eastAsia"/>
          <w:sz w:val="18"/>
        </w:rPr>
        <w:t>的，应在评标报告中作出说明。</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DD0353D"/>
    <w:rsid w:val="00480449"/>
    <w:rsid w:val="007E26A3"/>
    <w:rsid w:val="009361B9"/>
    <w:rsid w:val="00A26D69"/>
    <w:rsid w:val="00E12D78"/>
    <w:rsid w:val="00F7563E"/>
    <w:rsid w:val="1DD0353D"/>
    <w:rsid w:val="27C7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563E"/>
    <w:pPr>
      <w:widowControl w:val="0"/>
      <w:adjustRightInd w:val="0"/>
      <w:spacing w:line="315" w:lineRule="atLeast"/>
      <w:textAlignment w:val="baseline"/>
    </w:pPr>
    <w:rPr>
      <w:sz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rsid w:val="00F7563E"/>
    <w:pPr>
      <w:pBdr>
        <w:bottom w:val="single" w:sz="4" w:space="1" w:color="auto"/>
      </w:pBdr>
      <w:tabs>
        <w:tab w:val="center" w:pos="4147"/>
        <w:tab w:val="right" w:pos="8309"/>
      </w:tabs>
      <w:spacing w:before="60" w:after="60" w:line="420" w:lineRule="atLeast"/>
      <w:ind w:firstLine="454"/>
    </w:pPr>
    <w:rPr>
      <w:rFonts w:eastAsia="黑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552</Words>
  <Characters>3149</Characters>
  <Application>Microsoft Office Word</Application>
  <DocSecurity>0</DocSecurity>
  <Lines>26</Lines>
  <Paragraphs>7</Paragraphs>
  <ScaleCrop>false</ScaleCrop>
  <Company>微软中国</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马洪坤</dc:creator>
  <cp:lastModifiedBy>Administrator</cp:lastModifiedBy>
  <cp:revision>3</cp:revision>
  <dcterms:created xsi:type="dcterms:W3CDTF">2021-04-08T01:24:00Z</dcterms:created>
  <dcterms:modified xsi:type="dcterms:W3CDTF">2021-04-08T03:47:00Z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